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Ind w:w="-252" w:type="dxa"/>
        <w:tblBorders>
          <w:bottom w:val="single" w:sz="4" w:space="0" w:color="999999"/>
        </w:tblBorders>
        <w:tblLayout w:type="fixed"/>
        <w:tblLook w:val="0000" w:firstRow="0" w:lastRow="0" w:firstColumn="0" w:lastColumn="0" w:noHBand="0" w:noVBand="0"/>
      </w:tblPr>
      <w:tblGrid>
        <w:gridCol w:w="4950"/>
        <w:gridCol w:w="4950"/>
      </w:tblGrid>
      <w:tr w:rsidR="00981F1F" w:rsidRPr="00EF639A">
        <w:trPr>
          <w:cantSplit/>
        </w:trPr>
        <w:tc>
          <w:tcPr>
            <w:tcW w:w="4950" w:type="dxa"/>
          </w:tcPr>
          <w:p w:rsidR="00981F1F" w:rsidRPr="00EF639A" w:rsidRDefault="00981F1F" w:rsidP="00342C9A">
            <w:pPr>
              <w:tabs>
                <w:tab w:val="left" w:pos="1350"/>
              </w:tabs>
              <w:ind w:left="180"/>
              <w:rPr>
                <w:rStyle w:val="Strong"/>
              </w:rPr>
            </w:pPr>
            <w:bookmarkStart w:id="0" w:name="_GoBack"/>
            <w:bookmarkEnd w:id="0"/>
            <w:r>
              <w:rPr>
                <w:b/>
                <w:bCs/>
                <w:noProof/>
              </w:rPr>
              <w:drawing>
                <wp:inline distT="0" distB="0" distL="0" distR="0">
                  <wp:extent cx="2853690" cy="964565"/>
                  <wp:effectExtent l="19050" t="0" r="3810" b="0"/>
                  <wp:docPr id="3" name="Picture 1" descr="logo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ed"/>
                          <pic:cNvPicPr>
                            <a:picLocks noChangeAspect="1" noChangeArrowheads="1"/>
                          </pic:cNvPicPr>
                        </pic:nvPicPr>
                        <pic:blipFill>
                          <a:blip r:embed="rId8" cstate="print"/>
                          <a:srcRect/>
                          <a:stretch>
                            <a:fillRect/>
                          </a:stretch>
                        </pic:blipFill>
                        <pic:spPr bwMode="auto">
                          <a:xfrm>
                            <a:off x="0" y="0"/>
                            <a:ext cx="2853690" cy="964565"/>
                          </a:xfrm>
                          <a:prstGeom prst="rect">
                            <a:avLst/>
                          </a:prstGeom>
                          <a:noFill/>
                          <a:ln w="9525">
                            <a:noFill/>
                            <a:miter lim="800000"/>
                            <a:headEnd/>
                            <a:tailEnd/>
                          </a:ln>
                        </pic:spPr>
                      </pic:pic>
                    </a:graphicData>
                  </a:graphic>
                </wp:inline>
              </w:drawing>
            </w:r>
          </w:p>
        </w:tc>
        <w:tc>
          <w:tcPr>
            <w:tcW w:w="4950" w:type="dxa"/>
            <w:vAlign w:val="center"/>
          </w:tcPr>
          <w:p w:rsidR="00981F1F" w:rsidRPr="00EF639A" w:rsidRDefault="00981F1F" w:rsidP="00342C9A">
            <w:pPr>
              <w:tabs>
                <w:tab w:val="left" w:pos="1350"/>
              </w:tabs>
              <w:ind w:left="187"/>
              <w:jc w:val="right"/>
              <w:rPr>
                <w:rStyle w:val="Strong"/>
              </w:rPr>
            </w:pPr>
            <w:r w:rsidRPr="00EF639A">
              <w:rPr>
                <w:rStyle w:val="Strong"/>
              </w:rPr>
              <w:t>851 S.W. Sixth Avenue, Suite 1100</w:t>
            </w:r>
          </w:p>
          <w:p w:rsidR="00981F1F" w:rsidRPr="00EF639A" w:rsidRDefault="00981F1F" w:rsidP="00342C9A">
            <w:pPr>
              <w:tabs>
                <w:tab w:val="left" w:pos="1350"/>
              </w:tabs>
              <w:spacing w:line="360" w:lineRule="exact"/>
              <w:ind w:left="187"/>
              <w:jc w:val="right"/>
              <w:rPr>
                <w:rStyle w:val="Strong"/>
              </w:rPr>
            </w:pPr>
            <w:r w:rsidRPr="00EF639A">
              <w:rPr>
                <w:rStyle w:val="Strong"/>
              </w:rPr>
              <w:t>Portland, Oregon 97204-1348</w:t>
            </w:r>
          </w:p>
          <w:p w:rsidR="00A059C1" w:rsidRDefault="00A059C1" w:rsidP="00342C9A">
            <w:pPr>
              <w:tabs>
                <w:tab w:val="left" w:pos="1350"/>
              </w:tabs>
              <w:spacing w:line="360" w:lineRule="exact"/>
              <w:ind w:left="187"/>
              <w:jc w:val="right"/>
              <w:rPr>
                <w:rStyle w:val="Strong"/>
              </w:rPr>
            </w:pPr>
            <w:r>
              <w:rPr>
                <w:rStyle w:val="Strong"/>
              </w:rPr>
              <w:t>Phone 503-222-5161</w:t>
            </w:r>
          </w:p>
          <w:p w:rsidR="00981F1F" w:rsidRPr="00EF639A" w:rsidRDefault="00A059C1" w:rsidP="00342C9A">
            <w:pPr>
              <w:tabs>
                <w:tab w:val="left" w:pos="1350"/>
              </w:tabs>
              <w:spacing w:line="360" w:lineRule="exact"/>
              <w:ind w:left="187"/>
              <w:jc w:val="right"/>
              <w:rPr>
                <w:rStyle w:val="Strong"/>
              </w:rPr>
            </w:pPr>
            <w:r>
              <w:rPr>
                <w:rStyle w:val="Strong"/>
              </w:rPr>
              <w:t>F</w:t>
            </w:r>
            <w:r w:rsidR="00AE10D6">
              <w:rPr>
                <w:rStyle w:val="Strong"/>
              </w:rPr>
              <w:t>ax 503-</w:t>
            </w:r>
            <w:r w:rsidR="00981F1F" w:rsidRPr="00EF639A">
              <w:rPr>
                <w:rStyle w:val="Strong"/>
              </w:rPr>
              <w:t>820-2370</w:t>
            </w:r>
          </w:p>
          <w:p w:rsidR="00981F1F" w:rsidRPr="00EF639A" w:rsidRDefault="00D16297" w:rsidP="00342C9A">
            <w:pPr>
              <w:tabs>
                <w:tab w:val="left" w:pos="1350"/>
              </w:tabs>
              <w:spacing w:line="360" w:lineRule="exact"/>
              <w:ind w:left="187"/>
              <w:jc w:val="right"/>
              <w:rPr>
                <w:rStyle w:val="Strong"/>
              </w:rPr>
            </w:pPr>
            <w:r>
              <w:rPr>
                <w:rStyle w:val="Strong"/>
              </w:rPr>
              <w:t>rtf.nwcouncil.org</w:t>
            </w:r>
          </w:p>
        </w:tc>
      </w:tr>
    </w:tbl>
    <w:p w:rsidR="00777601" w:rsidRDefault="00777601"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b/>
          <w:bCs/>
          <w:color w:val="000000"/>
        </w:rPr>
      </w:pPr>
    </w:p>
    <w:p w:rsidR="005F6094" w:rsidRDefault="00764C9F" w:rsidP="00981F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Verdana"/>
          <w:b/>
          <w:bCs/>
          <w:color w:val="000000"/>
          <w:sz w:val="28"/>
          <w:szCs w:val="28"/>
        </w:rPr>
      </w:pPr>
      <w:r>
        <w:rPr>
          <w:rFonts w:cs="Verdana"/>
          <w:b/>
          <w:bCs/>
          <w:color w:val="000000"/>
          <w:sz w:val="28"/>
          <w:szCs w:val="28"/>
        </w:rPr>
        <w:t>Proposed</w:t>
      </w:r>
      <w:r w:rsidR="001439E0">
        <w:rPr>
          <w:rFonts w:cs="Verdana"/>
          <w:b/>
          <w:bCs/>
          <w:color w:val="000000"/>
          <w:sz w:val="28"/>
          <w:szCs w:val="28"/>
        </w:rPr>
        <w:t xml:space="preserve"> </w:t>
      </w:r>
      <w:r w:rsidR="00687786">
        <w:rPr>
          <w:rFonts w:cs="Verdana"/>
          <w:b/>
          <w:bCs/>
          <w:color w:val="000000"/>
          <w:sz w:val="28"/>
          <w:szCs w:val="28"/>
        </w:rPr>
        <w:t>2014</w:t>
      </w:r>
      <w:r w:rsidR="00DD6AD4">
        <w:rPr>
          <w:rFonts w:cs="Verdana"/>
          <w:b/>
          <w:bCs/>
          <w:color w:val="000000"/>
          <w:sz w:val="28"/>
          <w:szCs w:val="28"/>
        </w:rPr>
        <w:t>-</w:t>
      </w:r>
      <w:r w:rsidR="00687786">
        <w:rPr>
          <w:rFonts w:cs="Verdana"/>
          <w:b/>
          <w:bCs/>
          <w:color w:val="000000"/>
          <w:sz w:val="28"/>
          <w:szCs w:val="28"/>
        </w:rPr>
        <w:t>2016</w:t>
      </w:r>
      <w:r w:rsidR="005F6094" w:rsidRPr="00342C9A">
        <w:rPr>
          <w:rFonts w:cs="Verdana"/>
          <w:b/>
          <w:bCs/>
          <w:color w:val="000000"/>
          <w:sz w:val="28"/>
          <w:szCs w:val="28"/>
        </w:rPr>
        <w:t xml:space="preserve"> Business Operating Plan and Funding</w:t>
      </w:r>
    </w:p>
    <w:p w:rsidR="00CD7F0E" w:rsidRPr="00CE3579" w:rsidRDefault="00CD7F0E"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b/>
          <w:bCs/>
          <w:color w:val="000000"/>
          <w:sz w:val="28"/>
          <w:szCs w:val="28"/>
        </w:rPr>
      </w:pPr>
    </w:p>
    <w:p w:rsidR="005F6094" w:rsidRPr="00A60314" w:rsidRDefault="00A6031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r>
        <w:rPr>
          <w:rFonts w:cs="Times New Roman"/>
          <w:b/>
          <w:bCs/>
          <w:color w:val="000000"/>
          <w:sz w:val="26"/>
          <w:szCs w:val="26"/>
        </w:rPr>
        <w:t>Introduction</w:t>
      </w:r>
    </w:p>
    <w:p w:rsidR="00342C9A" w:rsidRPr="00A60314" w:rsidRDefault="00342C9A"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This document </w:t>
      </w:r>
      <w:r w:rsidR="0072468D">
        <w:rPr>
          <w:rFonts w:ascii="Times New Roman" w:hAnsi="Times New Roman" w:cs="Times New Roman"/>
          <w:color w:val="000000"/>
        </w:rPr>
        <w:t xml:space="preserve">describes the </w:t>
      </w:r>
      <w:r w:rsidR="006A43A4">
        <w:rPr>
          <w:rFonts w:ascii="Times New Roman" w:hAnsi="Times New Roman" w:cs="Times New Roman"/>
          <w:color w:val="000000"/>
        </w:rPr>
        <w:t xml:space="preserve">Regional Technical Forum’s </w:t>
      </w:r>
      <w:r w:rsidR="00687786">
        <w:rPr>
          <w:rFonts w:ascii="Times New Roman" w:hAnsi="Times New Roman" w:cs="Times New Roman"/>
          <w:color w:val="000000"/>
        </w:rPr>
        <w:t>2014</w:t>
      </w:r>
      <w:r w:rsidR="00C274B4">
        <w:rPr>
          <w:rFonts w:ascii="Times New Roman" w:hAnsi="Times New Roman" w:cs="Times New Roman"/>
          <w:color w:val="000000"/>
        </w:rPr>
        <w:t xml:space="preserve"> work</w:t>
      </w:r>
      <w:r w:rsidR="008F53DB">
        <w:rPr>
          <w:rFonts w:ascii="Times New Roman" w:hAnsi="Times New Roman" w:cs="Times New Roman"/>
          <w:color w:val="000000"/>
        </w:rPr>
        <w:t xml:space="preserve"> </w:t>
      </w:r>
      <w:r w:rsidR="00C274B4">
        <w:rPr>
          <w:rFonts w:ascii="Times New Roman" w:hAnsi="Times New Roman" w:cs="Times New Roman"/>
          <w:color w:val="000000"/>
        </w:rPr>
        <w:t xml:space="preserve">plan and the </w:t>
      </w:r>
      <w:r w:rsidR="00687786">
        <w:rPr>
          <w:rFonts w:ascii="Times New Roman" w:hAnsi="Times New Roman" w:cs="Times New Roman"/>
          <w:color w:val="000000"/>
        </w:rPr>
        <w:t>2014</w:t>
      </w:r>
      <w:r w:rsidR="006A43A4">
        <w:rPr>
          <w:rFonts w:ascii="Times New Roman" w:hAnsi="Times New Roman" w:cs="Times New Roman"/>
          <w:color w:val="000000"/>
        </w:rPr>
        <w:t>-</w:t>
      </w:r>
      <w:r w:rsidR="00687786">
        <w:rPr>
          <w:rFonts w:ascii="Times New Roman" w:hAnsi="Times New Roman" w:cs="Times New Roman"/>
          <w:color w:val="000000"/>
        </w:rPr>
        <w:t>2016</w:t>
      </w:r>
      <w:r w:rsidR="006A43A4">
        <w:rPr>
          <w:rFonts w:ascii="Times New Roman" w:hAnsi="Times New Roman" w:cs="Times New Roman"/>
          <w:color w:val="000000"/>
        </w:rPr>
        <w:t xml:space="preserve"> </w:t>
      </w:r>
      <w:r w:rsidR="00C274B4">
        <w:rPr>
          <w:rFonts w:ascii="Times New Roman" w:hAnsi="Times New Roman" w:cs="Times New Roman"/>
          <w:color w:val="000000"/>
        </w:rPr>
        <w:t>business plan</w:t>
      </w:r>
      <w:r w:rsidR="0096697E">
        <w:rPr>
          <w:rFonts w:ascii="Times New Roman" w:hAnsi="Times New Roman" w:cs="Times New Roman"/>
          <w:color w:val="000000"/>
        </w:rPr>
        <w:t xml:space="preserve">. </w:t>
      </w:r>
      <w:r w:rsidR="00CB2322">
        <w:rPr>
          <w:rFonts w:ascii="Times New Roman" w:hAnsi="Times New Roman" w:cs="Times New Roman"/>
          <w:color w:val="000000"/>
        </w:rPr>
        <w:t xml:space="preserve">The </w:t>
      </w:r>
      <w:r w:rsidR="008F53DB">
        <w:rPr>
          <w:rFonts w:ascii="Times New Roman" w:hAnsi="Times New Roman" w:cs="Times New Roman"/>
          <w:color w:val="000000"/>
        </w:rPr>
        <w:t xml:space="preserve">budget for </w:t>
      </w:r>
      <w:r w:rsidR="00687786">
        <w:rPr>
          <w:rFonts w:ascii="Times New Roman" w:hAnsi="Times New Roman" w:cs="Times New Roman"/>
          <w:color w:val="000000"/>
        </w:rPr>
        <w:t>2014</w:t>
      </w:r>
      <w:r w:rsidR="001A6703">
        <w:rPr>
          <w:rFonts w:ascii="Times New Roman" w:hAnsi="Times New Roman" w:cs="Times New Roman"/>
          <w:color w:val="000000"/>
        </w:rPr>
        <w:t xml:space="preserve"> </w:t>
      </w:r>
      <w:r w:rsidR="00CB2322">
        <w:rPr>
          <w:rFonts w:ascii="Times New Roman" w:hAnsi="Times New Roman" w:cs="Times New Roman"/>
          <w:color w:val="000000"/>
        </w:rPr>
        <w:t xml:space="preserve">is </w:t>
      </w:r>
      <w:r w:rsidR="00C718FB">
        <w:rPr>
          <w:rFonts w:ascii="Times New Roman" w:hAnsi="Times New Roman" w:cs="Times New Roman"/>
          <w:color w:val="000000"/>
        </w:rPr>
        <w:t xml:space="preserve">currently </w:t>
      </w:r>
      <w:r w:rsidR="00A059C1">
        <w:rPr>
          <w:rFonts w:ascii="Times New Roman" w:hAnsi="Times New Roman" w:cs="Times New Roman"/>
          <w:color w:val="000000"/>
        </w:rPr>
        <w:t xml:space="preserve">estimated at </w:t>
      </w:r>
      <w:r w:rsidR="00AC6BF7" w:rsidRPr="00AC6BF7">
        <w:rPr>
          <w:rFonts w:ascii="Times New Roman" w:hAnsi="Times New Roman" w:cs="Times New Roman"/>
          <w:color w:val="000000"/>
        </w:rPr>
        <w:t>$1,</w:t>
      </w:r>
      <w:r w:rsidR="008F2850">
        <w:rPr>
          <w:rFonts w:ascii="Times New Roman" w:hAnsi="Times New Roman" w:cs="Times New Roman"/>
          <w:color w:val="000000"/>
        </w:rPr>
        <w:t>473</w:t>
      </w:r>
      <w:r w:rsidR="00AC6BF7" w:rsidRPr="00AC6BF7">
        <w:rPr>
          <w:rFonts w:ascii="Times New Roman" w:hAnsi="Times New Roman" w:cs="Times New Roman"/>
          <w:color w:val="000000"/>
        </w:rPr>
        <w:t>,000 per year</w:t>
      </w:r>
      <w:r w:rsidR="00C718FB">
        <w:rPr>
          <w:rFonts w:ascii="Times New Roman" w:hAnsi="Times New Roman" w:cs="Times New Roman"/>
          <w:color w:val="000000"/>
        </w:rPr>
        <w:t>, although no agreements are yet in place for funding the RTF past the 2014 calendar year</w:t>
      </w:r>
      <w:r w:rsidR="0096697E">
        <w:rPr>
          <w:rFonts w:ascii="Times New Roman" w:hAnsi="Times New Roman" w:cs="Times New Roman"/>
          <w:color w:val="000000"/>
        </w:rPr>
        <w:t xml:space="preserve">. </w:t>
      </w:r>
      <w:r w:rsidR="00DD6AD4">
        <w:rPr>
          <w:rFonts w:ascii="Times New Roman" w:hAnsi="Times New Roman" w:cs="Times New Roman"/>
          <w:color w:val="000000"/>
        </w:rPr>
        <w:t xml:space="preserve">The RTF </w:t>
      </w:r>
      <w:r w:rsidR="008F2850">
        <w:rPr>
          <w:rFonts w:ascii="Times New Roman" w:hAnsi="Times New Roman" w:cs="Times New Roman"/>
          <w:color w:val="000000"/>
        </w:rPr>
        <w:t xml:space="preserve">presented </w:t>
      </w:r>
      <w:r w:rsidR="00DD6AD4">
        <w:rPr>
          <w:rFonts w:ascii="Times New Roman" w:hAnsi="Times New Roman" w:cs="Times New Roman"/>
          <w:color w:val="000000"/>
        </w:rPr>
        <w:t>the draft work plan</w:t>
      </w:r>
      <w:r w:rsidR="00946D24">
        <w:rPr>
          <w:rFonts w:ascii="Times New Roman" w:hAnsi="Times New Roman" w:cs="Times New Roman"/>
          <w:color w:val="000000"/>
        </w:rPr>
        <w:t>, budget</w:t>
      </w:r>
      <w:r w:rsidR="00DD6AD4">
        <w:rPr>
          <w:rFonts w:ascii="Times New Roman" w:hAnsi="Times New Roman" w:cs="Times New Roman"/>
          <w:color w:val="000000"/>
        </w:rPr>
        <w:t xml:space="preserve"> and business plan at its </w:t>
      </w:r>
      <w:r w:rsidR="00C718FB">
        <w:rPr>
          <w:rFonts w:ascii="Times New Roman" w:hAnsi="Times New Roman" w:cs="Times New Roman"/>
          <w:color w:val="000000"/>
        </w:rPr>
        <w:t>September 17</w:t>
      </w:r>
      <w:r w:rsidR="008F2850" w:rsidRPr="008F2850">
        <w:rPr>
          <w:rFonts w:ascii="Times New Roman" w:hAnsi="Times New Roman" w:cs="Times New Roman"/>
          <w:color w:val="000000"/>
          <w:vertAlign w:val="superscript"/>
        </w:rPr>
        <w:t>th</w:t>
      </w:r>
      <w:r w:rsidR="008F2850">
        <w:rPr>
          <w:rFonts w:ascii="Times New Roman" w:hAnsi="Times New Roman" w:cs="Times New Roman"/>
          <w:color w:val="000000"/>
        </w:rPr>
        <w:t xml:space="preserve"> </w:t>
      </w:r>
      <w:r w:rsidR="00DD6AD4">
        <w:rPr>
          <w:rFonts w:ascii="Times New Roman" w:hAnsi="Times New Roman" w:cs="Times New Roman"/>
          <w:color w:val="000000"/>
        </w:rPr>
        <w:t xml:space="preserve">meeting and </w:t>
      </w:r>
      <w:r w:rsidR="008F2850">
        <w:rPr>
          <w:rFonts w:ascii="Times New Roman" w:hAnsi="Times New Roman" w:cs="Times New Roman"/>
          <w:color w:val="000000"/>
        </w:rPr>
        <w:t>plans to forward</w:t>
      </w:r>
      <w:r w:rsidR="00DD6AD4">
        <w:rPr>
          <w:rFonts w:ascii="Times New Roman" w:hAnsi="Times New Roman" w:cs="Times New Roman"/>
          <w:color w:val="000000"/>
        </w:rPr>
        <w:t xml:space="preserve"> their recommendation to the Council</w:t>
      </w:r>
      <w:r w:rsidR="00946D24">
        <w:rPr>
          <w:rFonts w:ascii="Times New Roman" w:hAnsi="Times New Roman" w:cs="Times New Roman"/>
          <w:color w:val="000000"/>
        </w:rPr>
        <w:t xml:space="preserve"> for approval</w:t>
      </w:r>
      <w:r w:rsidR="008F2850">
        <w:rPr>
          <w:rFonts w:ascii="Times New Roman" w:hAnsi="Times New Roman" w:cs="Times New Roman"/>
          <w:color w:val="000000"/>
        </w:rPr>
        <w:t xml:space="preserve"> in November</w:t>
      </w:r>
      <w:r w:rsidR="00DD6AD4">
        <w:rPr>
          <w:rFonts w:ascii="Times New Roman" w:hAnsi="Times New Roman" w:cs="Times New Roman"/>
          <w:color w:val="000000"/>
        </w:rPr>
        <w:t xml:space="preserve">. The RTF Policy Advisory Committee (RTF PAC) </w:t>
      </w:r>
      <w:r w:rsidR="00C718FB">
        <w:rPr>
          <w:rFonts w:ascii="Times New Roman" w:hAnsi="Times New Roman" w:cs="Times New Roman"/>
          <w:color w:val="000000"/>
        </w:rPr>
        <w:t>will also review</w:t>
      </w:r>
      <w:r w:rsidR="00DD6AD4">
        <w:rPr>
          <w:rFonts w:ascii="Times New Roman" w:hAnsi="Times New Roman" w:cs="Times New Roman"/>
          <w:color w:val="000000"/>
        </w:rPr>
        <w:t xml:space="preserve"> the draft work plan</w:t>
      </w:r>
      <w:r w:rsidR="00946D24">
        <w:rPr>
          <w:rFonts w:ascii="Times New Roman" w:hAnsi="Times New Roman" w:cs="Times New Roman"/>
          <w:color w:val="000000"/>
        </w:rPr>
        <w:t>, budget</w:t>
      </w:r>
      <w:r w:rsidR="00DD6AD4">
        <w:rPr>
          <w:rFonts w:ascii="Times New Roman" w:hAnsi="Times New Roman" w:cs="Times New Roman"/>
          <w:color w:val="000000"/>
        </w:rPr>
        <w:t xml:space="preserve"> and business plan </w:t>
      </w:r>
      <w:r w:rsidR="00946D24">
        <w:rPr>
          <w:rFonts w:ascii="Times New Roman" w:hAnsi="Times New Roman" w:cs="Times New Roman"/>
          <w:color w:val="000000"/>
        </w:rPr>
        <w:t xml:space="preserve">at its </w:t>
      </w:r>
      <w:r w:rsidR="00DD6AD4">
        <w:rPr>
          <w:rFonts w:ascii="Times New Roman" w:hAnsi="Times New Roman" w:cs="Times New Roman"/>
          <w:color w:val="000000"/>
        </w:rPr>
        <w:t xml:space="preserve">October meeting and </w:t>
      </w:r>
      <w:r w:rsidR="008F2850">
        <w:rPr>
          <w:rFonts w:ascii="Times New Roman" w:hAnsi="Times New Roman" w:cs="Times New Roman"/>
          <w:color w:val="000000"/>
        </w:rPr>
        <w:t>will send</w:t>
      </w:r>
      <w:r w:rsidR="00347AB8">
        <w:rPr>
          <w:rFonts w:ascii="Times New Roman" w:hAnsi="Times New Roman" w:cs="Times New Roman"/>
          <w:color w:val="000000"/>
        </w:rPr>
        <w:t xml:space="preserve"> their recommendation to the Council for approval.</w:t>
      </w:r>
    </w:p>
    <w:p w:rsidR="005F6094" w:rsidRPr="00CE3579"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b/>
          <w:bCs/>
          <w:color w:val="000000"/>
        </w:rPr>
      </w:pPr>
    </w:p>
    <w:p w:rsidR="005F6094" w:rsidRPr="00A60314" w:rsidRDefault="00A6031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r>
        <w:rPr>
          <w:rFonts w:cs="Times New Roman"/>
          <w:b/>
          <w:bCs/>
          <w:color w:val="000000"/>
          <w:sz w:val="26"/>
          <w:szCs w:val="26"/>
        </w:rPr>
        <w:t>Work Scope</w:t>
      </w:r>
    </w:p>
    <w:p w:rsidR="00342C9A" w:rsidRPr="00342C9A" w:rsidRDefault="00342C9A"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p>
    <w:p w:rsidR="0026425E"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 RTF will continue to pursue the tasks adopted by the Council and its original charge from Congress and the Comprehensive Review</w:t>
      </w:r>
      <w:r w:rsidR="0058160C">
        <w:rPr>
          <w:rStyle w:val="FootnoteReference"/>
          <w:rFonts w:ascii="Times New Roman" w:hAnsi="Times New Roman" w:cs="Times New Roman"/>
          <w:color w:val="000000"/>
        </w:rPr>
        <w:footnoteReference w:id="1"/>
      </w:r>
      <w:r w:rsidR="0096697E">
        <w:rPr>
          <w:rFonts w:ascii="Times New Roman" w:hAnsi="Times New Roman" w:cs="Times New Roman"/>
          <w:color w:val="000000"/>
        </w:rPr>
        <w:t xml:space="preserve">. </w:t>
      </w:r>
      <w:r>
        <w:rPr>
          <w:rFonts w:ascii="Times New Roman" w:hAnsi="Times New Roman" w:cs="Times New Roman"/>
          <w:color w:val="000000"/>
        </w:rPr>
        <w:t>These are:</w:t>
      </w:r>
    </w:p>
    <w:p w:rsidR="0026425E" w:rsidRDefault="0026425E" w:rsidP="00264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6425E" w:rsidRPr="00342C9A" w:rsidRDefault="0026425E" w:rsidP="00342C9A">
      <w:pPr>
        <w:pStyle w:val="ListParagraph"/>
        <w:widowControl w:val="0"/>
        <w:numPr>
          <w:ilvl w:val="0"/>
          <w:numId w:val="18"/>
        </w:numPr>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342C9A">
        <w:rPr>
          <w:rFonts w:ascii="Times New Roman" w:hAnsi="Times New Roman" w:cs="Times New Roman"/>
          <w:color w:val="000000"/>
        </w:rPr>
        <w:t>Develop and maintain standardized protocols for verification a</w:t>
      </w:r>
      <w:r w:rsidR="0051065E" w:rsidRPr="00342C9A">
        <w:rPr>
          <w:rFonts w:ascii="Times New Roman" w:hAnsi="Times New Roman" w:cs="Times New Roman"/>
          <w:color w:val="000000"/>
        </w:rPr>
        <w:t>nd evaluation of energy savings.</w:t>
      </w:r>
    </w:p>
    <w:p w:rsidR="00981F1F" w:rsidRPr="005F6094" w:rsidRDefault="00981F1F" w:rsidP="00342C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color w:val="000000"/>
        </w:rPr>
      </w:pPr>
    </w:p>
    <w:p w:rsidR="00545877" w:rsidRPr="004427DC" w:rsidRDefault="00545877" w:rsidP="00545877">
      <w:pPr>
        <w:pStyle w:val="ListParagraph"/>
        <w:widowControl w:val="0"/>
        <w:numPr>
          <w:ilvl w:val="0"/>
          <w:numId w:val="18"/>
        </w:numPr>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427DC">
        <w:rPr>
          <w:rFonts w:ascii="Times New Roman" w:hAnsi="Times New Roman" w:cs="Times New Roman"/>
          <w:color w:val="000000"/>
        </w:rPr>
        <w:t>Conduct periodic reviews of the region’s progress toward meeting its conservation resource goals, acknowledging changes in the market for energy services, and the potential availability of cost-effective conservation opportunities.</w:t>
      </w:r>
    </w:p>
    <w:p w:rsidR="00981F1F" w:rsidRPr="005F6094" w:rsidRDefault="00981F1F" w:rsidP="00342C9A">
      <w:pPr>
        <w:pStyle w:val="ListParagraph"/>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26425E" w:rsidRPr="00342C9A" w:rsidRDefault="0026425E" w:rsidP="00342C9A">
      <w:pPr>
        <w:pStyle w:val="ListParagraph"/>
        <w:widowControl w:val="0"/>
        <w:numPr>
          <w:ilvl w:val="0"/>
          <w:numId w:val="18"/>
        </w:numPr>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342C9A">
        <w:rPr>
          <w:rFonts w:ascii="Times New Roman" w:hAnsi="Times New Roman" w:cs="Times New Roman"/>
          <w:color w:val="000000"/>
        </w:rPr>
        <w:t>Provide feedback and suggestions for improving the effectiveness of the conservation resource development programs and activities in the region.</w:t>
      </w:r>
    </w:p>
    <w:p w:rsidR="00342C9A" w:rsidRDefault="00342C9A" w:rsidP="00342C9A">
      <w:pPr>
        <w:pStyle w:val="ListParagraph"/>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Consistent with these tasks, the RTF will continue to provide recommendations to Bonneville Power Administration (Bonneville), the region’s utilities, and system benefit charge administrators to facilitate the operation of their conservation resource acquisition programs</w:t>
      </w:r>
      <w:r w:rsidR="0096697E">
        <w:rPr>
          <w:rFonts w:ascii="Times New Roman" w:hAnsi="Times New Roman" w:cs="Times New Roman"/>
          <w:color w:val="000000"/>
        </w:rPr>
        <w:t xml:space="preserve">. </w:t>
      </w:r>
      <w:r w:rsidR="0026425E">
        <w:rPr>
          <w:rFonts w:ascii="Times New Roman" w:hAnsi="Times New Roman" w:cs="Times New Roman"/>
          <w:color w:val="000000"/>
        </w:rPr>
        <w:t xml:space="preserve">The </w:t>
      </w:r>
      <w:r w:rsidR="00687786">
        <w:rPr>
          <w:rFonts w:ascii="Times New Roman" w:hAnsi="Times New Roman" w:cs="Times New Roman"/>
          <w:color w:val="000000"/>
        </w:rPr>
        <w:t>2014</w:t>
      </w:r>
      <w:r w:rsidR="001D260B">
        <w:rPr>
          <w:rFonts w:ascii="Times New Roman" w:hAnsi="Times New Roman" w:cs="Times New Roman"/>
          <w:color w:val="000000"/>
        </w:rPr>
        <w:t xml:space="preserve"> </w:t>
      </w:r>
      <w:r w:rsidR="00CE59D6">
        <w:rPr>
          <w:rFonts w:ascii="Times New Roman" w:hAnsi="Times New Roman" w:cs="Times New Roman"/>
          <w:color w:val="000000"/>
        </w:rPr>
        <w:t>work</w:t>
      </w:r>
      <w:r w:rsidR="00981F1F">
        <w:rPr>
          <w:rFonts w:ascii="Times New Roman" w:hAnsi="Times New Roman" w:cs="Times New Roman"/>
          <w:color w:val="000000"/>
        </w:rPr>
        <w:t xml:space="preserve"> </w:t>
      </w:r>
      <w:r w:rsidR="00CE59D6">
        <w:rPr>
          <w:rFonts w:ascii="Times New Roman" w:hAnsi="Times New Roman" w:cs="Times New Roman"/>
          <w:color w:val="000000"/>
        </w:rPr>
        <w:t>plan</w:t>
      </w:r>
      <w:r>
        <w:rPr>
          <w:rFonts w:ascii="Times New Roman" w:hAnsi="Times New Roman" w:cs="Times New Roman"/>
          <w:color w:val="000000"/>
        </w:rPr>
        <w:t xml:space="preserve"> include</w:t>
      </w:r>
      <w:r w:rsidR="0026425E">
        <w:rPr>
          <w:rFonts w:ascii="Times New Roman" w:hAnsi="Times New Roman" w:cs="Times New Roman"/>
          <w:color w:val="000000"/>
        </w:rPr>
        <w:t>s</w:t>
      </w:r>
      <w:r>
        <w:rPr>
          <w:rFonts w:ascii="Times New Roman" w:hAnsi="Times New Roman" w:cs="Times New Roman"/>
          <w:color w:val="000000"/>
        </w:rPr>
        <w:t xml:space="preserve">, but </w:t>
      </w:r>
      <w:r w:rsidR="0026425E">
        <w:rPr>
          <w:rFonts w:ascii="Times New Roman" w:hAnsi="Times New Roman" w:cs="Times New Roman"/>
          <w:color w:val="000000"/>
        </w:rPr>
        <w:t>is</w:t>
      </w:r>
      <w:r>
        <w:rPr>
          <w:rFonts w:ascii="Times New Roman" w:hAnsi="Times New Roman" w:cs="Times New Roman"/>
          <w:color w:val="000000"/>
        </w:rPr>
        <w:t xml:space="preserve"> not limited, to:</w:t>
      </w:r>
    </w:p>
    <w:p w:rsidR="00981F1F" w:rsidRDefault="00981F1F"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B03F9" w:rsidRDefault="00FB03F9"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Review and update existing measures </w:t>
      </w:r>
      <w:r w:rsidRPr="005F6094">
        <w:rPr>
          <w:rFonts w:ascii="Times New Roman" w:hAnsi="Times New Roman" w:cs="Times New Roman"/>
          <w:color w:val="000000"/>
        </w:rPr>
        <w:t>and standardized protocols for verification and evaluation of energy savings.</w:t>
      </w:r>
      <w:r w:rsidR="00CB2322">
        <w:rPr>
          <w:rFonts w:ascii="Times New Roman" w:hAnsi="Times New Roman" w:cs="Times New Roman"/>
          <w:color w:val="000000"/>
        </w:rPr>
        <w:t xml:space="preserve"> The RTF </w:t>
      </w:r>
      <w:r w:rsidR="00BF6530">
        <w:rPr>
          <w:rFonts w:ascii="Times New Roman" w:hAnsi="Times New Roman" w:cs="Times New Roman"/>
          <w:color w:val="000000"/>
        </w:rPr>
        <w:t>maintains</w:t>
      </w:r>
      <w:r w:rsidR="004D6939">
        <w:rPr>
          <w:rFonts w:ascii="Times New Roman" w:hAnsi="Times New Roman" w:cs="Times New Roman"/>
          <w:color w:val="000000"/>
        </w:rPr>
        <w:t xml:space="preserve"> and continually updates</w:t>
      </w:r>
      <w:r w:rsidR="00BF6530">
        <w:rPr>
          <w:rFonts w:ascii="Times New Roman" w:hAnsi="Times New Roman" w:cs="Times New Roman"/>
          <w:color w:val="000000"/>
        </w:rPr>
        <w:t xml:space="preserve"> </w:t>
      </w:r>
      <w:r w:rsidR="004E29C2">
        <w:rPr>
          <w:rFonts w:ascii="Times New Roman" w:hAnsi="Times New Roman" w:cs="Times New Roman"/>
          <w:color w:val="000000"/>
        </w:rPr>
        <w:t xml:space="preserve">a library of </w:t>
      </w:r>
      <w:r w:rsidR="0023436E">
        <w:rPr>
          <w:rFonts w:ascii="Times New Roman" w:hAnsi="Times New Roman" w:cs="Times New Roman"/>
          <w:color w:val="000000"/>
        </w:rPr>
        <w:t>over</w:t>
      </w:r>
      <w:r w:rsidR="00BF6530">
        <w:rPr>
          <w:rFonts w:ascii="Times New Roman" w:hAnsi="Times New Roman" w:cs="Times New Roman"/>
          <w:color w:val="000000"/>
        </w:rPr>
        <w:t xml:space="preserve"> one hundred </w:t>
      </w:r>
      <w:r w:rsidR="00CB2322">
        <w:rPr>
          <w:rFonts w:ascii="Times New Roman" w:hAnsi="Times New Roman" w:cs="Times New Roman"/>
          <w:color w:val="000000"/>
        </w:rPr>
        <w:t xml:space="preserve">measures </w:t>
      </w:r>
      <w:r w:rsidR="00BF6530">
        <w:rPr>
          <w:rFonts w:ascii="Times New Roman" w:hAnsi="Times New Roman" w:cs="Times New Roman"/>
          <w:color w:val="000000"/>
        </w:rPr>
        <w:t>and protocols</w:t>
      </w:r>
      <w:r w:rsidR="0023436E">
        <w:rPr>
          <w:rFonts w:ascii="Times New Roman" w:hAnsi="Times New Roman" w:cs="Times New Roman"/>
          <w:color w:val="000000"/>
        </w:rPr>
        <w:t>, a</w:t>
      </w:r>
      <w:r w:rsidR="007A6CEC">
        <w:rPr>
          <w:rFonts w:ascii="Times New Roman" w:hAnsi="Times New Roman" w:cs="Times New Roman"/>
          <w:color w:val="000000"/>
        </w:rPr>
        <w:t xml:space="preserve">lmost </w:t>
      </w:r>
      <w:r w:rsidR="008F2850">
        <w:rPr>
          <w:rFonts w:ascii="Times New Roman" w:hAnsi="Times New Roman" w:cs="Times New Roman"/>
          <w:color w:val="000000"/>
        </w:rPr>
        <w:t>one-third</w:t>
      </w:r>
      <w:r w:rsidR="007A6CEC">
        <w:rPr>
          <w:rFonts w:ascii="Times New Roman" w:hAnsi="Times New Roman" w:cs="Times New Roman"/>
          <w:color w:val="000000"/>
        </w:rPr>
        <w:t xml:space="preserve"> of </w:t>
      </w:r>
      <w:r w:rsidR="0023436E">
        <w:rPr>
          <w:rFonts w:ascii="Times New Roman" w:hAnsi="Times New Roman" w:cs="Times New Roman"/>
          <w:color w:val="000000"/>
        </w:rPr>
        <w:t xml:space="preserve">which </w:t>
      </w:r>
      <w:r w:rsidR="00CB2322">
        <w:rPr>
          <w:rFonts w:ascii="Times New Roman" w:hAnsi="Times New Roman" w:cs="Times New Roman"/>
          <w:color w:val="000000"/>
        </w:rPr>
        <w:t xml:space="preserve">will </w:t>
      </w:r>
      <w:r w:rsidR="0023436E">
        <w:rPr>
          <w:rFonts w:ascii="Times New Roman" w:hAnsi="Times New Roman" w:cs="Times New Roman"/>
          <w:color w:val="000000"/>
        </w:rPr>
        <w:t xml:space="preserve">require </w:t>
      </w:r>
      <w:r w:rsidR="007A6CEC">
        <w:rPr>
          <w:rFonts w:ascii="Times New Roman" w:hAnsi="Times New Roman" w:cs="Times New Roman"/>
          <w:color w:val="000000"/>
        </w:rPr>
        <w:t xml:space="preserve">updating in </w:t>
      </w:r>
      <w:r w:rsidR="00687786">
        <w:rPr>
          <w:rFonts w:ascii="Times New Roman" w:hAnsi="Times New Roman" w:cs="Times New Roman"/>
          <w:color w:val="000000"/>
        </w:rPr>
        <w:t>2014</w:t>
      </w:r>
      <w:r w:rsidR="007A6CEC">
        <w:rPr>
          <w:rFonts w:ascii="Times New Roman" w:hAnsi="Times New Roman" w:cs="Times New Roman"/>
          <w:color w:val="000000"/>
        </w:rPr>
        <w:t xml:space="preserve"> </w:t>
      </w:r>
      <w:r w:rsidR="0051065E">
        <w:rPr>
          <w:rFonts w:ascii="Times New Roman" w:hAnsi="Times New Roman" w:cs="Times New Roman"/>
          <w:color w:val="000000"/>
        </w:rPr>
        <w:t xml:space="preserve">to conform to </w:t>
      </w:r>
      <w:r w:rsidR="004E29C2">
        <w:rPr>
          <w:rFonts w:ascii="Times New Roman" w:hAnsi="Times New Roman" w:cs="Times New Roman"/>
          <w:color w:val="000000"/>
        </w:rPr>
        <w:t xml:space="preserve">the </w:t>
      </w:r>
      <w:r w:rsidR="0051065E">
        <w:rPr>
          <w:rFonts w:ascii="Times New Roman" w:hAnsi="Times New Roman" w:cs="Times New Roman"/>
          <w:color w:val="000000"/>
        </w:rPr>
        <w:t xml:space="preserve">uniform </w:t>
      </w:r>
      <w:r w:rsidR="00C21B5A">
        <w:rPr>
          <w:rFonts w:ascii="Times New Roman" w:hAnsi="Times New Roman" w:cs="Times New Roman"/>
          <w:color w:val="000000"/>
        </w:rPr>
        <w:t xml:space="preserve">methods and savings, cost, benefits, and life estimation </w:t>
      </w:r>
      <w:r w:rsidR="0051065E">
        <w:rPr>
          <w:rFonts w:ascii="Times New Roman" w:hAnsi="Times New Roman" w:cs="Times New Roman"/>
          <w:color w:val="000000"/>
        </w:rPr>
        <w:t>standards</w:t>
      </w:r>
      <w:r w:rsidR="004E29C2">
        <w:rPr>
          <w:rFonts w:ascii="Times New Roman" w:hAnsi="Times New Roman" w:cs="Times New Roman"/>
          <w:color w:val="000000"/>
        </w:rPr>
        <w:t xml:space="preserve"> </w:t>
      </w:r>
      <w:r w:rsidR="00C21B5A">
        <w:rPr>
          <w:rFonts w:ascii="Times New Roman" w:hAnsi="Times New Roman" w:cs="Times New Roman"/>
          <w:color w:val="000000"/>
        </w:rPr>
        <w:t xml:space="preserve">outlined </w:t>
      </w:r>
      <w:r w:rsidR="004E29C2">
        <w:rPr>
          <w:rFonts w:ascii="Times New Roman" w:hAnsi="Times New Roman" w:cs="Times New Roman"/>
          <w:color w:val="000000"/>
        </w:rPr>
        <w:t xml:space="preserve">in the RTF’s operative </w:t>
      </w:r>
      <w:r w:rsidR="00E30B54" w:rsidRPr="00E30B54">
        <w:rPr>
          <w:rFonts w:ascii="Times New Roman" w:hAnsi="Times New Roman" w:cs="Times New Roman"/>
          <w:i/>
          <w:color w:val="000000"/>
        </w:rPr>
        <w:t>Guidelines</w:t>
      </w:r>
      <w:r w:rsidR="006A43A4">
        <w:rPr>
          <w:rStyle w:val="FootnoteReference"/>
          <w:rFonts w:ascii="Times New Roman" w:hAnsi="Times New Roman" w:cs="Times New Roman"/>
          <w:i/>
          <w:color w:val="000000"/>
        </w:rPr>
        <w:footnoteReference w:id="2"/>
      </w:r>
      <w:r w:rsidR="00C21B5A">
        <w:rPr>
          <w:rFonts w:ascii="Times New Roman" w:hAnsi="Times New Roman" w:cs="Times New Roman"/>
          <w:color w:val="000000"/>
        </w:rPr>
        <w:t>.</w:t>
      </w:r>
    </w:p>
    <w:p w:rsidR="00AA113E" w:rsidRDefault="00AA113E" w:rsidP="00AA113E">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AA113E" w:rsidRDefault="00AA113E"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Review and </w:t>
      </w:r>
      <w:r w:rsidR="00A55C86">
        <w:rPr>
          <w:rFonts w:ascii="Times New Roman" w:hAnsi="Times New Roman" w:cs="Times New Roman"/>
          <w:color w:val="000000"/>
        </w:rPr>
        <w:t xml:space="preserve">aid in the </w:t>
      </w:r>
      <w:r>
        <w:rPr>
          <w:rFonts w:ascii="Times New Roman" w:hAnsi="Times New Roman" w:cs="Times New Roman"/>
          <w:color w:val="000000"/>
        </w:rPr>
        <w:t>develop</w:t>
      </w:r>
      <w:r w:rsidR="00A55C86">
        <w:rPr>
          <w:rFonts w:ascii="Times New Roman" w:hAnsi="Times New Roman" w:cs="Times New Roman"/>
          <w:color w:val="000000"/>
        </w:rPr>
        <w:t>ment of</w:t>
      </w:r>
      <w:r>
        <w:rPr>
          <w:rFonts w:ascii="Times New Roman" w:hAnsi="Times New Roman" w:cs="Times New Roman"/>
          <w:color w:val="000000"/>
        </w:rPr>
        <w:t xml:space="preserve"> research plans for measures of regional importance and interest found to be out-of-compliance with the RTF </w:t>
      </w:r>
      <w:r w:rsidRPr="00E30B54">
        <w:rPr>
          <w:rFonts w:ascii="Times New Roman" w:hAnsi="Times New Roman" w:cs="Times New Roman"/>
          <w:i/>
          <w:color w:val="000000"/>
        </w:rPr>
        <w:t>Guidelines</w:t>
      </w:r>
      <w:r w:rsidR="00E30B54">
        <w:rPr>
          <w:rFonts w:ascii="Times New Roman" w:hAnsi="Times New Roman" w:cs="Times New Roman"/>
          <w:color w:val="000000"/>
        </w:rPr>
        <w:t>.</w:t>
      </w:r>
    </w:p>
    <w:p w:rsidR="00981F1F"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B03F9" w:rsidRDefault="00FB03F9"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Develop new measures </w:t>
      </w:r>
      <w:r w:rsidR="00AA113E">
        <w:rPr>
          <w:rFonts w:ascii="Times New Roman" w:hAnsi="Times New Roman" w:cs="Times New Roman"/>
          <w:color w:val="000000"/>
        </w:rPr>
        <w:t xml:space="preserve">and protocols </w:t>
      </w:r>
      <w:r>
        <w:rPr>
          <w:rFonts w:ascii="Times New Roman" w:hAnsi="Times New Roman" w:cs="Times New Roman"/>
          <w:color w:val="000000"/>
        </w:rPr>
        <w:t>and review unsolic</w:t>
      </w:r>
      <w:r w:rsidR="0051065E">
        <w:rPr>
          <w:rFonts w:ascii="Times New Roman" w:hAnsi="Times New Roman" w:cs="Times New Roman"/>
          <w:color w:val="000000"/>
        </w:rPr>
        <w:t>ited proposals for new measures</w:t>
      </w:r>
      <w:r w:rsidR="00AA113E">
        <w:rPr>
          <w:rFonts w:ascii="Times New Roman" w:hAnsi="Times New Roman" w:cs="Times New Roman"/>
          <w:color w:val="000000"/>
        </w:rPr>
        <w:t xml:space="preserve"> and protocols</w:t>
      </w:r>
      <w:r w:rsidR="00342C9A">
        <w:rPr>
          <w:rFonts w:ascii="Times New Roman" w:hAnsi="Times New Roman" w:cs="Times New Roman"/>
          <w:color w:val="000000"/>
        </w:rPr>
        <w:t>.</w:t>
      </w:r>
    </w:p>
    <w:p w:rsidR="00981F1F" w:rsidRPr="005F6094"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B03F9" w:rsidRDefault="0051065E"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Continue to s</w:t>
      </w:r>
      <w:r w:rsidR="00FB03F9">
        <w:rPr>
          <w:rFonts w:ascii="Times New Roman" w:hAnsi="Times New Roman" w:cs="Times New Roman"/>
          <w:color w:val="000000"/>
        </w:rPr>
        <w:t xml:space="preserve">tandardize and </w:t>
      </w:r>
      <w:r w:rsidR="00A55C86">
        <w:rPr>
          <w:rFonts w:ascii="Times New Roman" w:hAnsi="Times New Roman" w:cs="Times New Roman"/>
          <w:color w:val="000000"/>
        </w:rPr>
        <w:t xml:space="preserve">update </w:t>
      </w:r>
      <w:r w:rsidR="008F2850">
        <w:rPr>
          <w:rFonts w:ascii="Times New Roman" w:hAnsi="Times New Roman" w:cs="Times New Roman"/>
          <w:color w:val="000000"/>
        </w:rPr>
        <w:t xml:space="preserve">the </w:t>
      </w:r>
      <w:r w:rsidR="008F2850" w:rsidRPr="008F2850">
        <w:rPr>
          <w:rFonts w:ascii="Times New Roman" w:hAnsi="Times New Roman" w:cs="Times New Roman"/>
          <w:i/>
          <w:color w:val="000000"/>
        </w:rPr>
        <w:t>G</w:t>
      </w:r>
      <w:r w:rsidR="00FB03F9" w:rsidRPr="008F2850">
        <w:rPr>
          <w:rFonts w:ascii="Times New Roman" w:hAnsi="Times New Roman" w:cs="Times New Roman"/>
          <w:i/>
          <w:color w:val="000000"/>
        </w:rPr>
        <w:t>uidelines</w:t>
      </w:r>
      <w:r w:rsidR="00FB03F9">
        <w:rPr>
          <w:rFonts w:ascii="Times New Roman" w:hAnsi="Times New Roman" w:cs="Times New Roman"/>
          <w:color w:val="000000"/>
        </w:rPr>
        <w:t xml:space="preserve"> fo</w:t>
      </w:r>
      <w:r>
        <w:rPr>
          <w:rFonts w:ascii="Times New Roman" w:hAnsi="Times New Roman" w:cs="Times New Roman"/>
          <w:color w:val="000000"/>
        </w:rPr>
        <w:t>r technical review of measures</w:t>
      </w:r>
      <w:r w:rsidR="00A55C86">
        <w:rPr>
          <w:rFonts w:ascii="Times New Roman" w:hAnsi="Times New Roman" w:cs="Times New Roman"/>
          <w:color w:val="000000"/>
        </w:rPr>
        <w:t>, protocols and impact evaluations</w:t>
      </w:r>
      <w:r w:rsidR="00342C9A">
        <w:rPr>
          <w:rFonts w:ascii="Times New Roman" w:hAnsi="Times New Roman" w:cs="Times New Roman"/>
          <w:color w:val="000000"/>
        </w:rPr>
        <w:t>.</w:t>
      </w:r>
    </w:p>
    <w:p w:rsidR="00981F1F"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B03F9" w:rsidRDefault="00FB03F9"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47958">
        <w:rPr>
          <w:rFonts w:ascii="Times New Roman" w:hAnsi="Times New Roman" w:cs="Times New Roman"/>
          <w:color w:val="000000"/>
        </w:rPr>
        <w:t xml:space="preserve">Update </w:t>
      </w:r>
      <w:r w:rsidR="00CB2322">
        <w:rPr>
          <w:rFonts w:ascii="Times New Roman" w:hAnsi="Times New Roman" w:cs="Times New Roman"/>
          <w:color w:val="000000"/>
        </w:rPr>
        <w:t xml:space="preserve">and develop new </w:t>
      </w:r>
      <w:r w:rsidRPr="00B47958">
        <w:rPr>
          <w:rFonts w:ascii="Times New Roman" w:hAnsi="Times New Roman" w:cs="Times New Roman"/>
          <w:color w:val="000000"/>
        </w:rPr>
        <w:t>tools for measure analysis</w:t>
      </w:r>
      <w:r w:rsidR="0026425E">
        <w:rPr>
          <w:rFonts w:ascii="Times New Roman" w:hAnsi="Times New Roman" w:cs="Times New Roman"/>
          <w:color w:val="000000"/>
        </w:rPr>
        <w:t xml:space="preserve">, </w:t>
      </w:r>
      <w:r w:rsidR="00A55C86">
        <w:rPr>
          <w:rFonts w:ascii="Times New Roman" w:hAnsi="Times New Roman" w:cs="Times New Roman"/>
          <w:color w:val="000000"/>
        </w:rPr>
        <w:t>including updates to</w:t>
      </w:r>
      <w:r w:rsidR="0026425E">
        <w:rPr>
          <w:rFonts w:ascii="Times New Roman" w:hAnsi="Times New Roman" w:cs="Times New Roman"/>
          <w:color w:val="000000"/>
        </w:rPr>
        <w:t xml:space="preserve"> </w:t>
      </w:r>
      <w:r w:rsidR="0026425E" w:rsidRPr="00B47958">
        <w:rPr>
          <w:rFonts w:ascii="Times New Roman" w:hAnsi="Times New Roman" w:cs="Times New Roman"/>
          <w:color w:val="000000"/>
        </w:rPr>
        <w:t>ProCost and SEEM</w:t>
      </w:r>
      <w:r w:rsidR="00342C9A">
        <w:rPr>
          <w:rFonts w:ascii="Times New Roman" w:hAnsi="Times New Roman" w:cs="Times New Roman"/>
          <w:color w:val="000000"/>
        </w:rPr>
        <w:t>.</w:t>
      </w:r>
    </w:p>
    <w:p w:rsidR="00981F1F" w:rsidRPr="00B47958"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B03F9" w:rsidRDefault="00A55C86"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Conduct r</w:t>
      </w:r>
      <w:r w:rsidR="00FB03F9">
        <w:rPr>
          <w:rFonts w:ascii="Times New Roman" w:hAnsi="Times New Roman" w:cs="Times New Roman"/>
          <w:color w:val="000000"/>
        </w:rPr>
        <w:t xml:space="preserve">esearch projects, </w:t>
      </w:r>
      <w:r>
        <w:rPr>
          <w:rFonts w:ascii="Times New Roman" w:hAnsi="Times New Roman" w:cs="Times New Roman"/>
          <w:color w:val="000000"/>
        </w:rPr>
        <w:t xml:space="preserve">update </w:t>
      </w:r>
      <w:r w:rsidR="00FB03F9">
        <w:rPr>
          <w:rFonts w:ascii="Times New Roman" w:hAnsi="Times New Roman" w:cs="Times New Roman"/>
          <w:color w:val="000000"/>
        </w:rPr>
        <w:t>data</w:t>
      </w:r>
      <w:r w:rsidR="00342C9A">
        <w:rPr>
          <w:rFonts w:ascii="Times New Roman" w:hAnsi="Times New Roman" w:cs="Times New Roman"/>
          <w:color w:val="000000"/>
        </w:rPr>
        <w:t>,</w:t>
      </w:r>
      <w:r w:rsidR="00FB03F9">
        <w:rPr>
          <w:rFonts w:ascii="Times New Roman" w:hAnsi="Times New Roman" w:cs="Times New Roman"/>
          <w:color w:val="000000"/>
        </w:rPr>
        <w:t xml:space="preserve"> and provide searcha</w:t>
      </w:r>
      <w:r w:rsidR="0051065E">
        <w:rPr>
          <w:rFonts w:ascii="Times New Roman" w:hAnsi="Times New Roman" w:cs="Times New Roman"/>
          <w:color w:val="000000"/>
        </w:rPr>
        <w:t>ble access to data for analysis</w:t>
      </w:r>
      <w:r>
        <w:rPr>
          <w:rFonts w:ascii="Times New Roman" w:hAnsi="Times New Roman" w:cs="Times New Roman"/>
          <w:color w:val="000000"/>
        </w:rPr>
        <w:t>.</w:t>
      </w:r>
    </w:p>
    <w:p w:rsidR="00981F1F"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B03F9" w:rsidRDefault="0051065E"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Provide</w:t>
      </w:r>
      <w:r w:rsidR="00FB03F9">
        <w:rPr>
          <w:rFonts w:ascii="Times New Roman" w:hAnsi="Times New Roman" w:cs="Times New Roman"/>
          <w:color w:val="000000"/>
        </w:rPr>
        <w:t xml:space="preserve"> an inventory of regional evalu</w:t>
      </w:r>
      <w:r>
        <w:rPr>
          <w:rFonts w:ascii="Times New Roman" w:hAnsi="Times New Roman" w:cs="Times New Roman"/>
          <w:color w:val="000000"/>
        </w:rPr>
        <w:t>ation spending and activities to aid in regional coordination of evaluation</w:t>
      </w:r>
      <w:r w:rsidR="00342C9A">
        <w:rPr>
          <w:rFonts w:ascii="Times New Roman" w:hAnsi="Times New Roman" w:cs="Times New Roman"/>
          <w:color w:val="000000"/>
        </w:rPr>
        <w:t>.</w:t>
      </w:r>
    </w:p>
    <w:p w:rsidR="00981F1F"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Default="005F6094"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F6094">
        <w:rPr>
          <w:rFonts w:ascii="Times New Roman" w:hAnsi="Times New Roman" w:cs="Times New Roman"/>
          <w:color w:val="000000"/>
        </w:rPr>
        <w:t xml:space="preserve">Maintain a process through which Bonneville, the region’s utilities, and system benefit charge administrators </w:t>
      </w:r>
      <w:r w:rsidR="007F2B5A">
        <w:rPr>
          <w:rFonts w:ascii="Times New Roman" w:hAnsi="Times New Roman" w:cs="Times New Roman"/>
          <w:color w:val="000000"/>
        </w:rPr>
        <w:t>may</w:t>
      </w:r>
      <w:r w:rsidR="007F2B5A" w:rsidRPr="005F6094">
        <w:rPr>
          <w:rFonts w:ascii="Times New Roman" w:hAnsi="Times New Roman" w:cs="Times New Roman"/>
          <w:color w:val="000000"/>
        </w:rPr>
        <w:t xml:space="preserve"> </w:t>
      </w:r>
      <w:r w:rsidRPr="005F6094">
        <w:rPr>
          <w:rFonts w:ascii="Times New Roman" w:hAnsi="Times New Roman" w:cs="Times New Roman"/>
          <w:color w:val="000000"/>
        </w:rPr>
        <w:t>demonstrate that different cost, savings, and cost-effectiveness findings should apply to their specific programs or service territories</w:t>
      </w:r>
      <w:r w:rsidR="00342C9A">
        <w:rPr>
          <w:rFonts w:ascii="Times New Roman" w:hAnsi="Times New Roman" w:cs="Times New Roman"/>
          <w:color w:val="000000"/>
        </w:rPr>
        <w:t>.</w:t>
      </w:r>
    </w:p>
    <w:p w:rsidR="00981F1F" w:rsidRPr="005F6094"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Default="005F6094"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F6094">
        <w:rPr>
          <w:rFonts w:ascii="Times New Roman" w:hAnsi="Times New Roman" w:cs="Times New Roman"/>
          <w:color w:val="000000"/>
        </w:rPr>
        <w:t>Develop and maintain protocols by which the savings and the regional cost- effectiveness for energy efficiency measures, technologies, or practices not specifically evaluated by the RTF can be estimated</w:t>
      </w:r>
      <w:r w:rsidR="00342C9A">
        <w:rPr>
          <w:rFonts w:ascii="Times New Roman" w:hAnsi="Times New Roman" w:cs="Times New Roman"/>
          <w:color w:val="000000"/>
        </w:rPr>
        <w:t>.</w:t>
      </w:r>
    </w:p>
    <w:p w:rsidR="00981F1F" w:rsidRPr="005F6094"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Default="005F6094"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5F6094">
        <w:rPr>
          <w:rFonts w:ascii="Times New Roman" w:hAnsi="Times New Roman" w:cs="Times New Roman"/>
          <w:color w:val="000000"/>
        </w:rPr>
        <w:t>Review measurement</w:t>
      </w:r>
      <w:r w:rsidR="006027FD">
        <w:rPr>
          <w:rFonts w:ascii="Times New Roman" w:hAnsi="Times New Roman" w:cs="Times New Roman"/>
          <w:color w:val="000000"/>
        </w:rPr>
        <w:t xml:space="preserve"> and verification</w:t>
      </w:r>
      <w:r w:rsidRPr="005F6094">
        <w:rPr>
          <w:rFonts w:ascii="Times New Roman" w:hAnsi="Times New Roman" w:cs="Times New Roman"/>
          <w:color w:val="000000"/>
        </w:rPr>
        <w:t xml:space="preserve"> and </w:t>
      </w:r>
      <w:r w:rsidR="006027FD">
        <w:rPr>
          <w:rFonts w:ascii="Times New Roman" w:hAnsi="Times New Roman" w:cs="Times New Roman"/>
          <w:color w:val="000000"/>
        </w:rPr>
        <w:t xml:space="preserve">program impact </w:t>
      </w:r>
      <w:r w:rsidRPr="005F6094">
        <w:rPr>
          <w:rFonts w:ascii="Times New Roman" w:hAnsi="Times New Roman" w:cs="Times New Roman"/>
          <w:color w:val="000000"/>
        </w:rPr>
        <w:t xml:space="preserve">evaluation plans </w:t>
      </w:r>
      <w:r w:rsidR="006027FD">
        <w:rPr>
          <w:rFonts w:ascii="Times New Roman" w:hAnsi="Times New Roman" w:cs="Times New Roman"/>
          <w:color w:val="000000"/>
        </w:rPr>
        <w:t>and</w:t>
      </w:r>
      <w:r w:rsidRPr="005F6094">
        <w:rPr>
          <w:rFonts w:ascii="Times New Roman" w:hAnsi="Times New Roman" w:cs="Times New Roman"/>
          <w:color w:val="000000"/>
        </w:rPr>
        <w:t xml:space="preserve"> results to assess their </w:t>
      </w:r>
      <w:r w:rsidR="006027FD" w:rsidRPr="00342C9A">
        <w:rPr>
          <w:rFonts w:ascii="Times New Roman" w:hAnsi="Times New Roman" w:cs="Times New Roman"/>
          <w:color w:val="000000"/>
        </w:rPr>
        <w:t>suitability for use supporting studies for RTF-related measure evaluations</w:t>
      </w:r>
      <w:r w:rsidR="00342C9A" w:rsidRPr="00342C9A">
        <w:rPr>
          <w:rFonts w:ascii="Times New Roman" w:hAnsi="Times New Roman" w:cs="Times New Roman"/>
          <w:color w:val="000000"/>
        </w:rPr>
        <w:t>.</w:t>
      </w:r>
    </w:p>
    <w:p w:rsidR="00981F1F"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6697E" w:rsidRDefault="007F2B5A"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Upon request of program sponsors, r</w:t>
      </w:r>
      <w:r w:rsidR="006027FD">
        <w:rPr>
          <w:rFonts w:ascii="Times New Roman" w:hAnsi="Times New Roman" w:cs="Times New Roman"/>
          <w:color w:val="000000"/>
        </w:rPr>
        <w:t xml:space="preserve">eview </w:t>
      </w:r>
      <w:r>
        <w:rPr>
          <w:rFonts w:ascii="Times New Roman" w:hAnsi="Times New Roman" w:cs="Times New Roman"/>
          <w:color w:val="000000"/>
        </w:rPr>
        <w:t xml:space="preserve">plans for </w:t>
      </w:r>
      <w:r w:rsidR="006027FD">
        <w:rPr>
          <w:rFonts w:ascii="Times New Roman" w:hAnsi="Times New Roman" w:cs="Times New Roman"/>
          <w:color w:val="000000"/>
        </w:rPr>
        <w:t xml:space="preserve">measurement and verification </w:t>
      </w:r>
      <w:r>
        <w:rPr>
          <w:rFonts w:ascii="Times New Roman" w:hAnsi="Times New Roman" w:cs="Times New Roman"/>
          <w:color w:val="000000"/>
        </w:rPr>
        <w:t>or program impact evaluation</w:t>
      </w:r>
      <w:r w:rsidR="0096697E">
        <w:rPr>
          <w:rFonts w:ascii="Times New Roman" w:hAnsi="Times New Roman" w:cs="Times New Roman"/>
          <w:color w:val="000000"/>
        </w:rPr>
        <w:t>.</w:t>
      </w:r>
    </w:p>
    <w:p w:rsidR="00981F1F" w:rsidRPr="006027FD" w:rsidRDefault="00981F1F" w:rsidP="00342C9A">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6027FD" w:rsidRDefault="00F058ED"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F2B5A">
        <w:rPr>
          <w:rFonts w:ascii="Times New Roman" w:hAnsi="Times New Roman" w:cs="Times New Roman"/>
          <w:color w:val="000000"/>
        </w:rPr>
        <w:t>Develop, review, and revise as needed program technical specifications</w:t>
      </w:r>
      <w:r w:rsidR="0096697E">
        <w:rPr>
          <w:rFonts w:ascii="Times New Roman" w:hAnsi="Times New Roman" w:cs="Times New Roman"/>
          <w:color w:val="000000"/>
        </w:rPr>
        <w:t xml:space="preserve">. </w:t>
      </w:r>
      <w:r w:rsidRPr="007F2B5A">
        <w:rPr>
          <w:rFonts w:ascii="Times New Roman" w:hAnsi="Times New Roman" w:cs="Times New Roman"/>
          <w:color w:val="000000"/>
        </w:rPr>
        <w:t>Identify high-priority evaluations and research and demonstration activities that are needed to improve regional energy s</w:t>
      </w:r>
      <w:r>
        <w:rPr>
          <w:rFonts w:ascii="Times New Roman" w:hAnsi="Times New Roman" w:cs="Times New Roman"/>
          <w:color w:val="000000"/>
        </w:rPr>
        <w:t>avings estimates or facilitate adoption of new and existing energy efficiency technologies, measures, or practices</w:t>
      </w:r>
      <w:r w:rsidR="00342C9A">
        <w:rPr>
          <w:rFonts w:ascii="Times New Roman" w:hAnsi="Times New Roman" w:cs="Times New Roman"/>
          <w:color w:val="000000"/>
        </w:rPr>
        <w:t>.</w:t>
      </w:r>
    </w:p>
    <w:p w:rsidR="009875CC" w:rsidRPr="00A55C86" w:rsidRDefault="009875CC" w:rsidP="009875CC">
      <w:pPr>
        <w:pStyle w:val="ListParagraph"/>
        <w:rPr>
          <w:rFonts w:ascii="Times New Roman" w:hAnsi="Times New Roman" w:cs="Times New Roman"/>
          <w:color w:val="000000"/>
        </w:rPr>
      </w:pPr>
    </w:p>
    <w:p w:rsidR="009875CC" w:rsidRDefault="00B168B0" w:rsidP="009875CC">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Provide support and</w:t>
      </w:r>
      <w:r w:rsidR="009875CC">
        <w:rPr>
          <w:rFonts w:ascii="Times New Roman" w:hAnsi="Times New Roman" w:cs="Times New Roman"/>
          <w:color w:val="000000"/>
        </w:rPr>
        <w:t xml:space="preserve"> outreach </w:t>
      </w:r>
      <w:r>
        <w:rPr>
          <w:rFonts w:ascii="Times New Roman" w:hAnsi="Times New Roman" w:cs="Times New Roman"/>
          <w:color w:val="000000"/>
        </w:rPr>
        <w:t>to</w:t>
      </w:r>
      <w:r w:rsidR="009875CC">
        <w:rPr>
          <w:rFonts w:ascii="Times New Roman" w:hAnsi="Times New Roman" w:cs="Times New Roman"/>
          <w:color w:val="000000"/>
        </w:rPr>
        <w:t xml:space="preserve"> small and rural utilities </w:t>
      </w:r>
      <w:r>
        <w:rPr>
          <w:rFonts w:ascii="Times New Roman" w:hAnsi="Times New Roman" w:cs="Times New Roman"/>
          <w:color w:val="000000"/>
        </w:rPr>
        <w:t>to ensure the unique circumstances and barriers of their service territories are being taken into account when developing RTF technical measures and specifications</w:t>
      </w:r>
      <w:r w:rsidR="009875CC">
        <w:rPr>
          <w:rFonts w:ascii="Times New Roman" w:hAnsi="Times New Roman" w:cs="Times New Roman"/>
          <w:color w:val="000000"/>
        </w:rPr>
        <w:t>.</w:t>
      </w:r>
    </w:p>
    <w:p w:rsidR="0023436E" w:rsidRDefault="0023436E">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imes New Roman" w:hAnsi="Times New Roman" w:cs="Times New Roman"/>
          <w:color w:val="000000"/>
        </w:rPr>
      </w:pPr>
    </w:p>
    <w:p w:rsidR="004D6939" w:rsidRPr="004D6939" w:rsidRDefault="004D6939" w:rsidP="004D6939">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Review efficiency-related technical analysis developed for the Council’s Seventh Power Plan.</w:t>
      </w:r>
    </w:p>
    <w:p w:rsidR="00A55C86" w:rsidRPr="00A55C86" w:rsidRDefault="00A55C86" w:rsidP="00A55C86">
      <w:pPr>
        <w:pStyle w:val="ListParagraph"/>
        <w:rPr>
          <w:rFonts w:ascii="Times New Roman" w:hAnsi="Times New Roman" w:cs="Times New Roman"/>
          <w:color w:val="000000"/>
        </w:rPr>
      </w:pPr>
    </w:p>
    <w:p w:rsidR="00A55C86" w:rsidRDefault="00A55C86" w:rsidP="00342C9A">
      <w:pPr>
        <w:pStyle w:val="ListParagraph"/>
        <w:widowControl w:val="0"/>
        <w:numPr>
          <w:ilvl w:val="0"/>
          <w:numId w:val="5"/>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Provide outreach, training support and presentations for RTF related matters.</w:t>
      </w:r>
    </w:p>
    <w:p w:rsidR="00615826" w:rsidRDefault="00615826"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p>
    <w:p w:rsidR="00494C6E" w:rsidRDefault="00494C6E"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p>
    <w:p w:rsidR="005F6094" w:rsidRPr="00342C9A" w:rsidRDefault="00687786"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r>
        <w:rPr>
          <w:rFonts w:cs="Times New Roman"/>
          <w:b/>
          <w:bCs/>
          <w:color w:val="000000"/>
          <w:sz w:val="26"/>
          <w:szCs w:val="26"/>
        </w:rPr>
        <w:t>2014</w:t>
      </w:r>
      <w:r w:rsidR="00AC6BF7" w:rsidRPr="00342C9A">
        <w:rPr>
          <w:rFonts w:cs="Times New Roman"/>
          <w:b/>
          <w:bCs/>
          <w:color w:val="000000"/>
          <w:sz w:val="26"/>
          <w:szCs w:val="26"/>
        </w:rPr>
        <w:t xml:space="preserve"> Activities and Budget</w:t>
      </w:r>
    </w:p>
    <w:p w:rsidR="005F6094" w:rsidRPr="00DD6D50"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6697E" w:rsidRDefault="00F058ED" w:rsidP="001D4012">
      <w:pPr>
        <w:rPr>
          <w:rFonts w:ascii="Times New Roman" w:hAnsi="Times New Roman" w:cs="Times New Roman"/>
          <w:color w:val="000000"/>
        </w:rPr>
      </w:pPr>
      <w:r w:rsidRPr="00451E07">
        <w:rPr>
          <w:rFonts w:ascii="Times New Roman" w:hAnsi="Times New Roman" w:cs="Times New Roman"/>
          <w:color w:val="000000"/>
        </w:rPr>
        <w:t>The RTF’s specific work</w:t>
      </w:r>
      <w:r w:rsidR="001C4AA4" w:rsidRPr="00451E07">
        <w:rPr>
          <w:rFonts w:ascii="Times New Roman" w:hAnsi="Times New Roman" w:cs="Times New Roman"/>
          <w:color w:val="000000"/>
        </w:rPr>
        <w:t xml:space="preserve"> </w:t>
      </w:r>
      <w:r w:rsidRPr="00451E07">
        <w:rPr>
          <w:rFonts w:ascii="Times New Roman" w:hAnsi="Times New Roman" w:cs="Times New Roman"/>
          <w:color w:val="000000"/>
        </w:rPr>
        <w:t xml:space="preserve">plan is largely </w:t>
      </w:r>
      <w:r w:rsidR="000121B4" w:rsidRPr="00451E07">
        <w:rPr>
          <w:rFonts w:ascii="Times New Roman" w:hAnsi="Times New Roman" w:cs="Times New Roman"/>
          <w:color w:val="000000"/>
        </w:rPr>
        <w:t xml:space="preserve">driven </w:t>
      </w:r>
      <w:r w:rsidRPr="00451E07">
        <w:rPr>
          <w:rFonts w:ascii="Times New Roman" w:hAnsi="Times New Roman" w:cs="Times New Roman"/>
          <w:color w:val="000000"/>
        </w:rPr>
        <w:t>by the requests it receives from parties within the region, primarily utilities, Bonneville</w:t>
      </w:r>
      <w:r w:rsidR="00A55C86" w:rsidRPr="00451E07">
        <w:rPr>
          <w:rFonts w:ascii="Times New Roman" w:hAnsi="Times New Roman" w:cs="Times New Roman"/>
          <w:color w:val="000000"/>
        </w:rPr>
        <w:t xml:space="preserve"> Power Administration (BPA)</w:t>
      </w:r>
      <w:r w:rsidRPr="00451E07">
        <w:rPr>
          <w:rFonts w:ascii="Times New Roman" w:hAnsi="Times New Roman" w:cs="Times New Roman"/>
          <w:color w:val="000000"/>
        </w:rPr>
        <w:t>, Energy Trust of Oregon (</w:t>
      </w:r>
      <w:r w:rsidR="005F6094" w:rsidRPr="00451E07">
        <w:rPr>
          <w:rFonts w:ascii="Times New Roman" w:hAnsi="Times New Roman" w:cs="Times New Roman"/>
          <w:color w:val="000000"/>
        </w:rPr>
        <w:t xml:space="preserve">ETO), Northwest Energy Efficiency Alliance (NEEA), and state energy agencies (SEO). Historically these requests have come to the RTF through informal requests </w:t>
      </w:r>
      <w:r w:rsidR="000121B4" w:rsidRPr="00451E07">
        <w:rPr>
          <w:rFonts w:ascii="Times New Roman" w:hAnsi="Times New Roman" w:cs="Times New Roman"/>
          <w:color w:val="000000"/>
        </w:rPr>
        <w:t xml:space="preserve">from </w:t>
      </w:r>
      <w:r w:rsidR="005F6094" w:rsidRPr="00451E07">
        <w:rPr>
          <w:rFonts w:ascii="Times New Roman" w:hAnsi="Times New Roman" w:cs="Times New Roman"/>
          <w:color w:val="000000"/>
        </w:rPr>
        <w:t xml:space="preserve">staff </w:t>
      </w:r>
      <w:r w:rsidR="000121B4" w:rsidRPr="00451E07">
        <w:rPr>
          <w:rFonts w:ascii="Times New Roman" w:hAnsi="Times New Roman" w:cs="Times New Roman"/>
          <w:color w:val="000000"/>
        </w:rPr>
        <w:t xml:space="preserve">of </w:t>
      </w:r>
      <w:r w:rsidR="005F6094" w:rsidRPr="00451E07">
        <w:rPr>
          <w:rFonts w:ascii="Times New Roman" w:hAnsi="Times New Roman" w:cs="Times New Roman"/>
          <w:color w:val="000000"/>
        </w:rPr>
        <w:t xml:space="preserve">these entities or through the more formal “petition” process on </w:t>
      </w:r>
      <w:r w:rsidR="00175201" w:rsidRPr="00451E07">
        <w:rPr>
          <w:rFonts w:ascii="Times New Roman" w:hAnsi="Times New Roman" w:cs="Times New Roman"/>
          <w:color w:val="000000"/>
        </w:rPr>
        <w:t>the RTF</w:t>
      </w:r>
      <w:r w:rsidR="001364FB" w:rsidRPr="00451E07">
        <w:rPr>
          <w:rFonts w:ascii="Times New Roman" w:hAnsi="Times New Roman" w:cs="Times New Roman"/>
          <w:color w:val="000000"/>
        </w:rPr>
        <w:t xml:space="preserve"> </w:t>
      </w:r>
      <w:r w:rsidR="005F6094" w:rsidRPr="00451E07">
        <w:rPr>
          <w:rFonts w:ascii="Times New Roman" w:hAnsi="Times New Roman" w:cs="Times New Roman"/>
          <w:color w:val="000000"/>
        </w:rPr>
        <w:t>Planning, Tracking and Reporting (PTR) web site</w:t>
      </w:r>
      <w:r w:rsidR="0096697E">
        <w:rPr>
          <w:rFonts w:ascii="Times New Roman" w:hAnsi="Times New Roman" w:cs="Times New Roman"/>
          <w:color w:val="000000"/>
        </w:rPr>
        <w:t>.</w:t>
      </w:r>
    </w:p>
    <w:p w:rsidR="00A55C86" w:rsidRPr="00451E07" w:rsidRDefault="00A55C86" w:rsidP="001D4012">
      <w:pPr>
        <w:rPr>
          <w:rFonts w:ascii="Times New Roman" w:hAnsi="Times New Roman" w:cs="Times New Roman"/>
        </w:rPr>
      </w:pPr>
    </w:p>
    <w:p w:rsidR="0096697E" w:rsidRDefault="001D4012" w:rsidP="00175201">
      <w:pPr>
        <w:rPr>
          <w:rFonts w:ascii="Times New Roman" w:hAnsi="Times New Roman" w:cs="Times New Roman"/>
          <w:color w:val="000000"/>
        </w:rPr>
      </w:pPr>
      <w:r w:rsidRPr="00451E07">
        <w:rPr>
          <w:rFonts w:ascii="Times New Roman" w:hAnsi="Times New Roman" w:cs="Times New Roman"/>
        </w:rPr>
        <w:t xml:space="preserve">To facilitate the submittal of proposals by parties in the region for review by the RTF, </w:t>
      </w:r>
      <w:r w:rsidR="00175201" w:rsidRPr="00451E07">
        <w:rPr>
          <w:rFonts w:ascii="Times New Roman" w:hAnsi="Times New Roman" w:cs="Times New Roman"/>
        </w:rPr>
        <w:t xml:space="preserve">and because the PTR system is no longer utilized by BPA for tracking and reporting purposes, </w:t>
      </w:r>
      <w:r w:rsidRPr="00451E07">
        <w:rPr>
          <w:rFonts w:ascii="Times New Roman" w:hAnsi="Times New Roman" w:cs="Times New Roman"/>
        </w:rPr>
        <w:t xml:space="preserve">the RTF </w:t>
      </w:r>
      <w:r w:rsidR="00A55C86" w:rsidRPr="00451E07">
        <w:rPr>
          <w:rFonts w:ascii="Times New Roman" w:hAnsi="Times New Roman" w:cs="Times New Roman"/>
        </w:rPr>
        <w:t xml:space="preserve">established an </w:t>
      </w:r>
      <w:r w:rsidRPr="00451E07">
        <w:rPr>
          <w:rFonts w:ascii="Times New Roman" w:hAnsi="Times New Roman" w:cs="Times New Roman"/>
        </w:rPr>
        <w:t xml:space="preserve">online </w:t>
      </w:r>
      <w:r w:rsidR="008F2850">
        <w:rPr>
          <w:rFonts w:ascii="Times New Roman" w:hAnsi="Times New Roman" w:cs="Times New Roman"/>
        </w:rPr>
        <w:t>proposal</w:t>
      </w:r>
      <w:r w:rsidRPr="00451E07">
        <w:rPr>
          <w:rFonts w:ascii="Times New Roman" w:hAnsi="Times New Roman" w:cs="Times New Roman"/>
        </w:rPr>
        <w:t xml:space="preserve"> form located directly on the RTF website</w:t>
      </w:r>
      <w:r w:rsidR="00A55C86" w:rsidRPr="00451E07">
        <w:rPr>
          <w:rFonts w:ascii="Times New Roman" w:hAnsi="Times New Roman" w:cs="Times New Roman"/>
        </w:rPr>
        <w:t xml:space="preserve"> as part of its </w:t>
      </w:r>
      <w:r w:rsidR="00687786">
        <w:rPr>
          <w:rFonts w:ascii="Times New Roman" w:hAnsi="Times New Roman" w:cs="Times New Roman"/>
        </w:rPr>
        <w:t>2013</w:t>
      </w:r>
      <w:r w:rsidR="00A55C86" w:rsidRPr="00451E07">
        <w:rPr>
          <w:rFonts w:ascii="Times New Roman" w:hAnsi="Times New Roman" w:cs="Times New Roman"/>
        </w:rPr>
        <w:t xml:space="preserve"> Work Plan</w:t>
      </w:r>
      <w:r w:rsidR="0096697E">
        <w:rPr>
          <w:rFonts w:ascii="Times New Roman" w:hAnsi="Times New Roman" w:cs="Times New Roman"/>
        </w:rPr>
        <w:t xml:space="preserve">. </w:t>
      </w:r>
      <w:r w:rsidRPr="00451E07">
        <w:rPr>
          <w:rFonts w:ascii="Times New Roman" w:hAnsi="Times New Roman" w:cs="Times New Roman"/>
        </w:rPr>
        <w:t xml:space="preserve">This </w:t>
      </w:r>
      <w:r w:rsidR="008F2850">
        <w:rPr>
          <w:rFonts w:ascii="Times New Roman" w:hAnsi="Times New Roman" w:cs="Times New Roman"/>
        </w:rPr>
        <w:t>proposal</w:t>
      </w:r>
      <w:r w:rsidRPr="00451E07">
        <w:rPr>
          <w:rFonts w:ascii="Times New Roman" w:hAnsi="Times New Roman" w:cs="Times New Roman"/>
        </w:rPr>
        <w:t xml:space="preserve"> form </w:t>
      </w:r>
      <w:r w:rsidR="000121B4" w:rsidRPr="00451E07">
        <w:rPr>
          <w:rFonts w:ascii="Times New Roman" w:hAnsi="Times New Roman" w:cs="Times New Roman"/>
        </w:rPr>
        <w:t xml:space="preserve">is </w:t>
      </w:r>
      <w:r w:rsidRPr="00451E07">
        <w:rPr>
          <w:rFonts w:ascii="Times New Roman" w:hAnsi="Times New Roman" w:cs="Times New Roman"/>
        </w:rPr>
        <w:t>designed to collect the mini</w:t>
      </w:r>
      <w:r w:rsidR="00175201" w:rsidRPr="00451E07">
        <w:rPr>
          <w:rFonts w:ascii="Times New Roman" w:hAnsi="Times New Roman" w:cs="Times New Roman"/>
        </w:rPr>
        <w:t>mum data that is required for a</w:t>
      </w:r>
      <w:r w:rsidRPr="00451E07">
        <w:rPr>
          <w:rFonts w:ascii="Times New Roman" w:hAnsi="Times New Roman" w:cs="Times New Roman"/>
        </w:rPr>
        <w:t xml:space="preserve"> </w:t>
      </w:r>
      <w:r w:rsidR="00175201" w:rsidRPr="00451E07">
        <w:rPr>
          <w:rFonts w:ascii="Times New Roman" w:hAnsi="Times New Roman" w:cs="Times New Roman"/>
        </w:rPr>
        <w:t>measure to be considered for RTF approval</w:t>
      </w:r>
      <w:r w:rsidRPr="00451E07">
        <w:rPr>
          <w:rFonts w:ascii="Times New Roman" w:hAnsi="Times New Roman" w:cs="Times New Roman"/>
        </w:rPr>
        <w:t xml:space="preserve">. </w:t>
      </w:r>
      <w:r w:rsidR="00175201" w:rsidRPr="00451E07">
        <w:rPr>
          <w:rFonts w:ascii="Times New Roman" w:hAnsi="Times New Roman" w:cs="Times New Roman"/>
          <w:color w:val="000000"/>
        </w:rPr>
        <w:t xml:space="preserve">This new </w:t>
      </w:r>
      <w:r w:rsidR="008F2850">
        <w:rPr>
          <w:rFonts w:ascii="Times New Roman" w:hAnsi="Times New Roman" w:cs="Times New Roman"/>
          <w:color w:val="000000"/>
        </w:rPr>
        <w:t xml:space="preserve">proposal </w:t>
      </w:r>
      <w:r w:rsidR="00175201" w:rsidRPr="00451E07">
        <w:rPr>
          <w:rFonts w:ascii="Times New Roman" w:hAnsi="Times New Roman" w:cs="Times New Roman"/>
          <w:color w:val="000000"/>
        </w:rPr>
        <w:t xml:space="preserve">process </w:t>
      </w:r>
      <w:r w:rsidR="005F6094" w:rsidRPr="00451E07">
        <w:rPr>
          <w:rFonts w:ascii="Times New Roman" w:hAnsi="Times New Roman" w:cs="Times New Roman"/>
          <w:color w:val="000000"/>
        </w:rPr>
        <w:t>allow</w:t>
      </w:r>
      <w:r w:rsidR="00175201" w:rsidRPr="00451E07">
        <w:rPr>
          <w:rFonts w:ascii="Times New Roman" w:hAnsi="Times New Roman" w:cs="Times New Roman"/>
          <w:color w:val="000000"/>
        </w:rPr>
        <w:t>s</w:t>
      </w:r>
      <w:r w:rsidR="005F6094" w:rsidRPr="00451E07">
        <w:rPr>
          <w:rFonts w:ascii="Times New Roman" w:hAnsi="Times New Roman" w:cs="Times New Roman"/>
          <w:color w:val="000000"/>
        </w:rPr>
        <w:t xml:space="preserve"> the RTF to respond in a timely manner to emerging technical issues and questions</w:t>
      </w:r>
      <w:r w:rsidR="00175201" w:rsidRPr="00451E07">
        <w:rPr>
          <w:rFonts w:ascii="Times New Roman" w:hAnsi="Times New Roman" w:cs="Times New Roman"/>
          <w:color w:val="000000"/>
        </w:rPr>
        <w:t xml:space="preserve">, </w:t>
      </w:r>
      <w:r w:rsidR="000121B4" w:rsidRPr="00451E07">
        <w:rPr>
          <w:rFonts w:ascii="Times New Roman" w:hAnsi="Times New Roman" w:cs="Times New Roman"/>
          <w:color w:val="000000"/>
        </w:rPr>
        <w:t>and</w:t>
      </w:r>
      <w:r w:rsidR="00175201" w:rsidRPr="00451E07">
        <w:rPr>
          <w:rFonts w:ascii="Times New Roman" w:hAnsi="Times New Roman" w:cs="Times New Roman"/>
          <w:color w:val="000000"/>
        </w:rPr>
        <w:t xml:space="preserve"> prioritize incoming requests</w:t>
      </w:r>
      <w:r w:rsidR="0096697E">
        <w:rPr>
          <w:rFonts w:ascii="Times New Roman" w:hAnsi="Times New Roman" w:cs="Times New Roman"/>
          <w:color w:val="000000"/>
        </w:rPr>
        <w:t xml:space="preserve">. </w:t>
      </w:r>
      <w:r w:rsidR="005F6094" w:rsidRPr="00451E07">
        <w:rPr>
          <w:rFonts w:ascii="Times New Roman" w:hAnsi="Times New Roman" w:cs="Times New Roman"/>
          <w:color w:val="000000"/>
        </w:rPr>
        <w:t xml:space="preserve">In addition, the RTF will issue an annual request to Bonneville, the region’s utilities, ETO, </w:t>
      </w:r>
      <w:r w:rsidR="009A3074" w:rsidRPr="00451E07">
        <w:rPr>
          <w:rFonts w:ascii="Times New Roman" w:hAnsi="Times New Roman" w:cs="Times New Roman"/>
          <w:color w:val="000000"/>
        </w:rPr>
        <w:t>NEEA</w:t>
      </w:r>
      <w:r w:rsidR="00342C9A" w:rsidRPr="00451E07">
        <w:rPr>
          <w:rFonts w:ascii="Times New Roman" w:hAnsi="Times New Roman" w:cs="Times New Roman"/>
          <w:color w:val="000000"/>
        </w:rPr>
        <w:t>,</w:t>
      </w:r>
      <w:r w:rsidR="005F6094" w:rsidRPr="00451E07">
        <w:rPr>
          <w:rFonts w:ascii="Times New Roman" w:hAnsi="Times New Roman" w:cs="Times New Roman"/>
          <w:color w:val="000000"/>
        </w:rPr>
        <w:t xml:space="preserve"> and SEOs asking these entities to identify specific technical research and evaluation issues that they believe should be addressed during the coming year</w:t>
      </w:r>
      <w:r w:rsidR="0096697E">
        <w:rPr>
          <w:rFonts w:ascii="Times New Roman" w:hAnsi="Times New Roman" w:cs="Times New Roman"/>
          <w:color w:val="000000"/>
        </w:rPr>
        <w:t>.</w:t>
      </w:r>
    </w:p>
    <w:p w:rsidR="00B11416" w:rsidRPr="00451E07" w:rsidRDefault="00B11416" w:rsidP="00391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33DFC" w:rsidRPr="00451E07" w:rsidRDefault="00B33DFC" w:rsidP="00391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51E07">
        <w:rPr>
          <w:rFonts w:ascii="Times New Roman" w:hAnsi="Times New Roman" w:cs="Times New Roman"/>
          <w:color w:val="000000"/>
        </w:rPr>
        <w:t>During it</w:t>
      </w:r>
      <w:r w:rsidR="001C4AA4" w:rsidRPr="00451E07">
        <w:rPr>
          <w:rFonts w:ascii="Times New Roman" w:hAnsi="Times New Roman" w:cs="Times New Roman"/>
          <w:color w:val="000000"/>
        </w:rPr>
        <w:t>s</w:t>
      </w:r>
      <w:r w:rsidRPr="00451E07">
        <w:rPr>
          <w:rFonts w:ascii="Times New Roman" w:hAnsi="Times New Roman" w:cs="Times New Roman"/>
          <w:color w:val="000000"/>
        </w:rPr>
        <w:t xml:space="preserve"> operating year, the RTF typically adjusts allocation of resources among the categories in its work</w:t>
      </w:r>
      <w:r w:rsidR="001C4AA4" w:rsidRPr="00451E07">
        <w:rPr>
          <w:rFonts w:ascii="Times New Roman" w:hAnsi="Times New Roman" w:cs="Times New Roman"/>
          <w:color w:val="000000"/>
        </w:rPr>
        <w:t xml:space="preserve"> </w:t>
      </w:r>
      <w:r w:rsidRPr="00451E07">
        <w:rPr>
          <w:rFonts w:ascii="Times New Roman" w:hAnsi="Times New Roman" w:cs="Times New Roman"/>
          <w:color w:val="000000"/>
        </w:rPr>
        <w:t xml:space="preserve">plan based on requests received, </w:t>
      </w:r>
      <w:r w:rsidR="00804A9F">
        <w:rPr>
          <w:rFonts w:ascii="Times New Roman" w:hAnsi="Times New Roman" w:cs="Times New Roman"/>
          <w:color w:val="000000"/>
        </w:rPr>
        <w:t>proposals</w:t>
      </w:r>
      <w:r w:rsidR="001C4AA4" w:rsidRPr="00451E07">
        <w:rPr>
          <w:rFonts w:ascii="Times New Roman" w:hAnsi="Times New Roman" w:cs="Times New Roman"/>
          <w:color w:val="000000"/>
        </w:rPr>
        <w:t>,</w:t>
      </w:r>
      <w:r w:rsidRPr="00451E07">
        <w:rPr>
          <w:rFonts w:ascii="Times New Roman" w:hAnsi="Times New Roman" w:cs="Times New Roman"/>
          <w:color w:val="000000"/>
        </w:rPr>
        <w:t xml:space="preserve"> and the pace of multi-year projects. </w:t>
      </w:r>
      <w:r w:rsidR="001D4012" w:rsidRPr="00451E07">
        <w:rPr>
          <w:rFonts w:ascii="Times New Roman" w:hAnsi="Times New Roman" w:cs="Times New Roman"/>
        </w:rPr>
        <w:t>Specifically, the RTF reviews the budgets allocated to the review of existing and new measures and</w:t>
      </w:r>
      <w:r w:rsidR="006A43A4" w:rsidRPr="00451E07">
        <w:rPr>
          <w:rFonts w:ascii="Times New Roman" w:hAnsi="Times New Roman" w:cs="Times New Roman"/>
        </w:rPr>
        <w:t>,</w:t>
      </w:r>
      <w:r w:rsidR="001D4012" w:rsidRPr="00451E07">
        <w:rPr>
          <w:rFonts w:ascii="Times New Roman" w:hAnsi="Times New Roman" w:cs="Times New Roman"/>
        </w:rPr>
        <w:t xml:space="preserve"> within those budget categories</w:t>
      </w:r>
      <w:r w:rsidR="006A43A4" w:rsidRPr="00451E07">
        <w:rPr>
          <w:rFonts w:ascii="Times New Roman" w:hAnsi="Times New Roman" w:cs="Times New Roman"/>
        </w:rPr>
        <w:t>,</w:t>
      </w:r>
      <w:r w:rsidR="001D4012" w:rsidRPr="00451E07">
        <w:rPr>
          <w:rFonts w:ascii="Times New Roman" w:hAnsi="Times New Roman" w:cs="Times New Roman"/>
        </w:rPr>
        <w:t xml:space="preserve"> the allocation of funding between </w:t>
      </w:r>
      <w:r w:rsidR="00175201" w:rsidRPr="00451E07">
        <w:rPr>
          <w:rFonts w:ascii="Times New Roman" w:hAnsi="Times New Roman" w:cs="Times New Roman"/>
        </w:rPr>
        <w:t xml:space="preserve">Unit Energy Savings (UES) measures </w:t>
      </w:r>
      <w:r w:rsidR="001D4012" w:rsidRPr="00451E07">
        <w:rPr>
          <w:rFonts w:ascii="Times New Roman" w:hAnsi="Times New Roman" w:cs="Times New Roman"/>
        </w:rPr>
        <w:t xml:space="preserve">and </w:t>
      </w:r>
      <w:r w:rsidR="00175201" w:rsidRPr="00451E07">
        <w:rPr>
          <w:rFonts w:ascii="Times New Roman" w:hAnsi="Times New Roman" w:cs="Times New Roman"/>
        </w:rPr>
        <w:t>S</w:t>
      </w:r>
      <w:r w:rsidR="001D4012" w:rsidRPr="00451E07">
        <w:rPr>
          <w:rFonts w:ascii="Times New Roman" w:hAnsi="Times New Roman" w:cs="Times New Roman"/>
        </w:rPr>
        <w:t xml:space="preserve">tandard </w:t>
      </w:r>
      <w:r w:rsidR="00175201" w:rsidRPr="00451E07">
        <w:rPr>
          <w:rFonts w:ascii="Times New Roman" w:hAnsi="Times New Roman" w:cs="Times New Roman"/>
        </w:rPr>
        <w:t>P</w:t>
      </w:r>
      <w:r w:rsidR="001D4012" w:rsidRPr="00451E07">
        <w:rPr>
          <w:rFonts w:ascii="Times New Roman" w:hAnsi="Times New Roman" w:cs="Times New Roman"/>
        </w:rPr>
        <w:t>rotocols</w:t>
      </w:r>
      <w:r w:rsidR="0096697E">
        <w:rPr>
          <w:rFonts w:ascii="Times New Roman" w:hAnsi="Times New Roman" w:cs="Times New Roman"/>
        </w:rPr>
        <w:t xml:space="preserve">. </w:t>
      </w:r>
      <w:r w:rsidRPr="00451E07">
        <w:rPr>
          <w:rFonts w:ascii="Times New Roman" w:hAnsi="Times New Roman" w:cs="Times New Roman"/>
          <w:color w:val="000000"/>
        </w:rPr>
        <w:t xml:space="preserve">The RTF notifies the Council </w:t>
      </w:r>
      <w:r w:rsidR="00CD7F0E" w:rsidRPr="00451E07">
        <w:rPr>
          <w:rFonts w:ascii="Times New Roman" w:hAnsi="Times New Roman" w:cs="Times New Roman"/>
          <w:color w:val="000000"/>
        </w:rPr>
        <w:t xml:space="preserve">and its funders </w:t>
      </w:r>
      <w:r w:rsidRPr="00451E07">
        <w:rPr>
          <w:rFonts w:ascii="Times New Roman" w:hAnsi="Times New Roman" w:cs="Times New Roman"/>
          <w:color w:val="000000"/>
        </w:rPr>
        <w:t xml:space="preserve">of </w:t>
      </w:r>
      <w:r w:rsidR="00CD7F0E" w:rsidRPr="00451E07">
        <w:rPr>
          <w:rFonts w:ascii="Times New Roman" w:hAnsi="Times New Roman" w:cs="Times New Roman"/>
          <w:color w:val="000000"/>
        </w:rPr>
        <w:t xml:space="preserve">all </w:t>
      </w:r>
      <w:r w:rsidRPr="00451E07">
        <w:rPr>
          <w:rFonts w:ascii="Times New Roman" w:hAnsi="Times New Roman" w:cs="Times New Roman"/>
          <w:color w:val="000000"/>
        </w:rPr>
        <w:t>significant reallocation of resources or priorities.</w:t>
      </w:r>
    </w:p>
    <w:p w:rsidR="00B33DFC" w:rsidRPr="00451E07" w:rsidRDefault="00B33DFC" w:rsidP="00391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33DFC" w:rsidRPr="00451E07" w:rsidRDefault="00AC6BF7" w:rsidP="00391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51E07">
        <w:rPr>
          <w:rFonts w:ascii="Times New Roman" w:hAnsi="Times New Roman" w:cs="Times New Roman"/>
          <w:color w:val="000000"/>
        </w:rPr>
        <w:t xml:space="preserve">In </w:t>
      </w:r>
      <w:r w:rsidR="00687786">
        <w:rPr>
          <w:rFonts w:ascii="Times New Roman" w:hAnsi="Times New Roman" w:cs="Times New Roman"/>
          <w:color w:val="000000"/>
        </w:rPr>
        <w:t>2014</w:t>
      </w:r>
      <w:r w:rsidRPr="00451E07">
        <w:rPr>
          <w:rFonts w:ascii="Times New Roman" w:hAnsi="Times New Roman" w:cs="Times New Roman"/>
          <w:color w:val="000000"/>
        </w:rPr>
        <w:t xml:space="preserve">, priority will </w:t>
      </w:r>
      <w:r w:rsidR="00804A9F">
        <w:rPr>
          <w:rFonts w:ascii="Times New Roman" w:hAnsi="Times New Roman" w:cs="Times New Roman"/>
          <w:color w:val="000000"/>
        </w:rPr>
        <w:t xml:space="preserve">again </w:t>
      </w:r>
      <w:r w:rsidRPr="00451E07">
        <w:rPr>
          <w:rFonts w:ascii="Times New Roman" w:hAnsi="Times New Roman" w:cs="Times New Roman"/>
          <w:color w:val="000000"/>
        </w:rPr>
        <w:t xml:space="preserve">be given to </w:t>
      </w:r>
      <w:r w:rsidR="00804A9F">
        <w:rPr>
          <w:rFonts w:ascii="Times New Roman" w:hAnsi="Times New Roman" w:cs="Times New Roman"/>
          <w:color w:val="000000"/>
        </w:rPr>
        <w:t xml:space="preserve">further </w:t>
      </w:r>
      <w:r w:rsidRPr="00451E07">
        <w:rPr>
          <w:rFonts w:ascii="Times New Roman" w:hAnsi="Times New Roman" w:cs="Times New Roman"/>
          <w:color w:val="000000"/>
        </w:rPr>
        <w:t xml:space="preserve">updating and developing measures identified by the RTF’s </w:t>
      </w:r>
      <w:r w:rsidR="00804A9F">
        <w:rPr>
          <w:rFonts w:ascii="Times New Roman" w:hAnsi="Times New Roman" w:cs="Times New Roman"/>
          <w:color w:val="000000"/>
        </w:rPr>
        <w:t>2012</w:t>
      </w:r>
      <w:r w:rsidRPr="00451E07">
        <w:rPr>
          <w:rFonts w:ascii="Times New Roman" w:hAnsi="Times New Roman" w:cs="Times New Roman"/>
          <w:color w:val="000000"/>
        </w:rPr>
        <w:t xml:space="preserve"> measure review of </w:t>
      </w:r>
      <w:r w:rsidR="00175201" w:rsidRPr="00451E07">
        <w:rPr>
          <w:rFonts w:ascii="Times New Roman" w:hAnsi="Times New Roman" w:cs="Times New Roman"/>
          <w:color w:val="000000"/>
        </w:rPr>
        <w:t xml:space="preserve">42 </w:t>
      </w:r>
      <w:r w:rsidRPr="00451E07">
        <w:rPr>
          <w:rFonts w:ascii="Times New Roman" w:hAnsi="Times New Roman" w:cs="Times New Roman"/>
          <w:color w:val="000000"/>
        </w:rPr>
        <w:t>existing UES measures</w:t>
      </w:r>
      <w:r w:rsidR="00804A9F">
        <w:rPr>
          <w:rFonts w:ascii="Times New Roman" w:hAnsi="Times New Roman" w:cs="Times New Roman"/>
          <w:color w:val="000000"/>
        </w:rPr>
        <w:t xml:space="preserve"> for compliance with its </w:t>
      </w:r>
      <w:r w:rsidR="00804A9F" w:rsidRPr="00804A9F">
        <w:rPr>
          <w:rFonts w:ascii="Times New Roman" w:hAnsi="Times New Roman" w:cs="Times New Roman"/>
          <w:i/>
          <w:color w:val="000000"/>
        </w:rPr>
        <w:t>Guidelines</w:t>
      </w:r>
      <w:r w:rsidRPr="00451E07">
        <w:rPr>
          <w:rFonts w:ascii="Times New Roman" w:hAnsi="Times New Roman" w:cs="Times New Roman"/>
          <w:color w:val="000000"/>
        </w:rPr>
        <w:t>.</w:t>
      </w:r>
    </w:p>
    <w:p w:rsidR="005F6094" w:rsidRPr="00451E07"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6697E" w:rsidRDefault="006C4B31" w:rsidP="00887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451E07">
        <w:rPr>
          <w:rFonts w:ascii="Times New Roman" w:hAnsi="Times New Roman" w:cs="Times New Roman"/>
          <w:color w:val="000000"/>
        </w:rPr>
        <w:t>The RTF divides its work into six categories of elective work and three categories for management and administration</w:t>
      </w:r>
      <w:r w:rsidR="0096697E">
        <w:rPr>
          <w:rFonts w:ascii="Times New Roman" w:hAnsi="Times New Roman" w:cs="Times New Roman"/>
          <w:color w:val="000000"/>
        </w:rPr>
        <w:t xml:space="preserve">. </w:t>
      </w:r>
      <w:r w:rsidR="0059394C" w:rsidRPr="00451E07">
        <w:rPr>
          <w:rFonts w:ascii="Times New Roman" w:hAnsi="Times New Roman" w:cs="Times New Roman"/>
          <w:color w:val="000000"/>
        </w:rPr>
        <w:t xml:space="preserve">Table </w:t>
      </w:r>
      <w:r w:rsidR="00E64E74" w:rsidRPr="00451E07">
        <w:rPr>
          <w:rFonts w:ascii="Times New Roman" w:hAnsi="Times New Roman" w:cs="Times New Roman"/>
          <w:color w:val="000000"/>
        </w:rPr>
        <w:t>1</w:t>
      </w:r>
      <w:r w:rsidR="00342C9A" w:rsidRPr="00451E07">
        <w:rPr>
          <w:rFonts w:ascii="Times New Roman" w:hAnsi="Times New Roman" w:cs="Times New Roman"/>
          <w:color w:val="000000"/>
        </w:rPr>
        <w:t xml:space="preserve"> presents</w:t>
      </w:r>
      <w:r w:rsidR="0059394C" w:rsidRPr="00451E07">
        <w:rPr>
          <w:rFonts w:ascii="Times New Roman" w:hAnsi="Times New Roman" w:cs="Times New Roman"/>
          <w:color w:val="000000"/>
        </w:rPr>
        <w:t xml:space="preserve"> a summary of these categories for </w:t>
      </w:r>
      <w:r w:rsidR="00687786">
        <w:rPr>
          <w:rFonts w:ascii="Times New Roman" w:hAnsi="Times New Roman" w:cs="Times New Roman"/>
          <w:color w:val="000000"/>
        </w:rPr>
        <w:t>2014</w:t>
      </w:r>
      <w:r w:rsidR="0096697E">
        <w:rPr>
          <w:rFonts w:ascii="Times New Roman" w:hAnsi="Times New Roman" w:cs="Times New Roman"/>
          <w:color w:val="000000"/>
        </w:rPr>
        <w:t xml:space="preserve">. </w:t>
      </w:r>
      <w:r w:rsidR="00E64E74" w:rsidRPr="00451E07">
        <w:rPr>
          <w:rFonts w:ascii="Times New Roman" w:hAnsi="Times New Roman" w:cs="Times New Roman"/>
          <w:color w:val="000000"/>
        </w:rPr>
        <w:t xml:space="preserve">It includes components for </w:t>
      </w:r>
      <w:r w:rsidR="00CE3579">
        <w:rPr>
          <w:rFonts w:ascii="Times New Roman" w:hAnsi="Times New Roman" w:cs="Times New Roman"/>
          <w:color w:val="000000"/>
        </w:rPr>
        <w:t>Contract RFPs</w:t>
      </w:r>
      <w:r w:rsidR="00E64E74" w:rsidRPr="00451E07">
        <w:rPr>
          <w:rFonts w:ascii="Times New Roman" w:hAnsi="Times New Roman" w:cs="Times New Roman"/>
          <w:color w:val="000000"/>
        </w:rPr>
        <w:t>, RTF contract staff</w:t>
      </w:r>
      <w:r w:rsidR="001C4AA4" w:rsidRPr="00451E07">
        <w:rPr>
          <w:rFonts w:ascii="Times New Roman" w:hAnsi="Times New Roman" w:cs="Times New Roman"/>
          <w:color w:val="000000"/>
        </w:rPr>
        <w:t>,</w:t>
      </w:r>
      <w:r w:rsidR="00E64E74" w:rsidRPr="00451E07">
        <w:rPr>
          <w:rFonts w:ascii="Times New Roman" w:hAnsi="Times New Roman" w:cs="Times New Roman"/>
          <w:color w:val="000000"/>
        </w:rPr>
        <w:t xml:space="preserve"> and Council staff </w:t>
      </w:r>
      <w:r w:rsidR="001C4AA4" w:rsidRPr="00451E07">
        <w:rPr>
          <w:rFonts w:ascii="Times New Roman" w:hAnsi="Times New Roman" w:cs="Times New Roman"/>
          <w:color w:val="000000"/>
        </w:rPr>
        <w:t xml:space="preserve">in-kind </w:t>
      </w:r>
      <w:r w:rsidR="00E64E74" w:rsidRPr="00451E07">
        <w:rPr>
          <w:rFonts w:ascii="Times New Roman" w:hAnsi="Times New Roman" w:cs="Times New Roman"/>
          <w:color w:val="000000"/>
        </w:rPr>
        <w:t>contributions</w:t>
      </w:r>
      <w:r w:rsidR="0096697E">
        <w:rPr>
          <w:rFonts w:ascii="Times New Roman" w:hAnsi="Times New Roman" w:cs="Times New Roman"/>
          <w:color w:val="000000"/>
        </w:rPr>
        <w:t xml:space="preserve">. </w:t>
      </w:r>
      <w:r w:rsidR="00E64E74" w:rsidRPr="00451E07">
        <w:rPr>
          <w:rFonts w:ascii="Times New Roman" w:hAnsi="Times New Roman" w:cs="Times New Roman"/>
          <w:color w:val="000000"/>
        </w:rPr>
        <w:t>The component labeled “Subtotal Funders” represents the amount of funding required from the RTF’s voluntary fund</w:t>
      </w:r>
      <w:r w:rsidR="00175201" w:rsidRPr="00451E07">
        <w:rPr>
          <w:rFonts w:ascii="Times New Roman" w:hAnsi="Times New Roman" w:cs="Times New Roman"/>
          <w:color w:val="000000"/>
        </w:rPr>
        <w:t>ers</w:t>
      </w:r>
      <w:r w:rsidR="0096697E">
        <w:rPr>
          <w:rFonts w:ascii="Times New Roman" w:hAnsi="Times New Roman" w:cs="Times New Roman"/>
          <w:color w:val="000000"/>
        </w:rPr>
        <w:t xml:space="preserve">. </w:t>
      </w:r>
      <w:r w:rsidR="00175201" w:rsidRPr="00451E07">
        <w:rPr>
          <w:rFonts w:ascii="Times New Roman" w:hAnsi="Times New Roman" w:cs="Times New Roman"/>
          <w:color w:val="000000"/>
        </w:rPr>
        <w:t xml:space="preserve">A detailed budget for </w:t>
      </w:r>
      <w:r w:rsidR="00687786">
        <w:rPr>
          <w:rFonts w:ascii="Times New Roman" w:hAnsi="Times New Roman" w:cs="Times New Roman"/>
          <w:color w:val="000000"/>
        </w:rPr>
        <w:t>2014</w:t>
      </w:r>
      <w:r w:rsidR="00E64E74" w:rsidRPr="00451E07">
        <w:rPr>
          <w:rFonts w:ascii="Times New Roman" w:hAnsi="Times New Roman" w:cs="Times New Roman"/>
          <w:color w:val="000000"/>
        </w:rPr>
        <w:t xml:space="preserve"> and the </w:t>
      </w:r>
      <w:r w:rsidR="00CA7A9C" w:rsidRPr="00451E07">
        <w:rPr>
          <w:rFonts w:ascii="Times New Roman" w:hAnsi="Times New Roman" w:cs="Times New Roman"/>
          <w:color w:val="000000"/>
        </w:rPr>
        <w:t>three</w:t>
      </w:r>
      <w:r w:rsidR="00E64E74" w:rsidRPr="00451E07">
        <w:rPr>
          <w:rFonts w:ascii="Times New Roman" w:hAnsi="Times New Roman" w:cs="Times New Roman"/>
          <w:color w:val="000000"/>
        </w:rPr>
        <w:t xml:space="preserve">-year budget forecast are in the </w:t>
      </w:r>
      <w:r w:rsidR="009A3074" w:rsidRPr="00451E07">
        <w:rPr>
          <w:rFonts w:ascii="Times New Roman" w:hAnsi="Times New Roman" w:cs="Times New Roman"/>
          <w:color w:val="000000"/>
        </w:rPr>
        <w:t>accompanying</w:t>
      </w:r>
      <w:r w:rsidR="00E64E74" w:rsidRPr="00451E07">
        <w:rPr>
          <w:rFonts w:ascii="Times New Roman" w:hAnsi="Times New Roman" w:cs="Times New Roman"/>
          <w:color w:val="000000"/>
        </w:rPr>
        <w:t xml:space="preserve"> </w:t>
      </w:r>
      <w:r w:rsidR="009A3074" w:rsidRPr="00451E07">
        <w:rPr>
          <w:rFonts w:ascii="Times New Roman" w:hAnsi="Times New Roman" w:cs="Times New Roman"/>
          <w:color w:val="000000"/>
        </w:rPr>
        <w:t>E</w:t>
      </w:r>
      <w:r w:rsidR="00E64E74" w:rsidRPr="00451E07">
        <w:rPr>
          <w:rFonts w:ascii="Times New Roman" w:hAnsi="Times New Roman" w:cs="Times New Roman"/>
        </w:rPr>
        <w:t>xcel workbook</w:t>
      </w:r>
      <w:r w:rsidR="0096697E">
        <w:rPr>
          <w:rFonts w:ascii="Times New Roman" w:hAnsi="Times New Roman" w:cs="Times New Roman"/>
          <w:color w:val="000000"/>
        </w:rPr>
        <w:t xml:space="preserve">. </w:t>
      </w:r>
      <w:r w:rsidR="00E64E74" w:rsidRPr="00451E07">
        <w:rPr>
          <w:rFonts w:ascii="Times New Roman" w:hAnsi="Times New Roman" w:cs="Times New Roman"/>
          <w:color w:val="000000"/>
        </w:rPr>
        <w:t>Each category of work is briefly discussed in the section</w:t>
      </w:r>
      <w:r w:rsidR="00CE59D6" w:rsidRPr="00451E07">
        <w:rPr>
          <w:rFonts w:ascii="Times New Roman" w:hAnsi="Times New Roman" w:cs="Times New Roman"/>
          <w:color w:val="000000"/>
        </w:rPr>
        <w:t>s</w:t>
      </w:r>
      <w:r w:rsidR="00E64E74" w:rsidRPr="00451E07">
        <w:rPr>
          <w:rFonts w:ascii="Times New Roman" w:hAnsi="Times New Roman" w:cs="Times New Roman"/>
          <w:color w:val="000000"/>
        </w:rPr>
        <w:t xml:space="preserve"> following Table 1</w:t>
      </w:r>
      <w:r w:rsidR="0096697E">
        <w:rPr>
          <w:rFonts w:ascii="Times New Roman" w:hAnsi="Times New Roman" w:cs="Times New Roman"/>
          <w:color w:val="000000"/>
        </w:rPr>
        <w:t>.</w:t>
      </w:r>
    </w:p>
    <w:p w:rsidR="00887375" w:rsidRDefault="00887375" w:rsidP="008873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C43A8" w:rsidRDefault="006429B8" w:rsidP="00FC4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Pr>
          <w:rFonts w:cs="Times New Roman"/>
          <w:b/>
          <w:color w:val="000000"/>
        </w:rPr>
        <w:br w:type="page"/>
      </w:r>
      <w:r w:rsidR="00AC6BF7" w:rsidRPr="009C1876">
        <w:rPr>
          <w:rFonts w:cs="Times New Roman"/>
          <w:b/>
          <w:color w:val="000000"/>
        </w:rPr>
        <w:t xml:space="preserve">Table 1: </w:t>
      </w:r>
      <w:r w:rsidR="00A55C86">
        <w:rPr>
          <w:rFonts w:cs="Times New Roman"/>
          <w:b/>
          <w:color w:val="000000"/>
        </w:rPr>
        <w:t xml:space="preserve"> Planned RTF Activities for </w:t>
      </w:r>
      <w:r w:rsidR="00687786">
        <w:rPr>
          <w:rFonts w:cs="Times New Roman"/>
          <w:b/>
          <w:color w:val="000000"/>
        </w:rPr>
        <w:t>2014</w:t>
      </w:r>
    </w:p>
    <w:tbl>
      <w:tblPr>
        <w:tblpPr w:leftFromText="180" w:rightFromText="180" w:vertAnchor="text" w:tblpY="1"/>
        <w:tblOverlap w:val="never"/>
        <w:tblW w:w="5000" w:type="pct"/>
        <w:tblLook w:val="04A0" w:firstRow="1" w:lastRow="0" w:firstColumn="1" w:lastColumn="0" w:noHBand="0" w:noVBand="1"/>
      </w:tblPr>
      <w:tblGrid>
        <w:gridCol w:w="4183"/>
        <w:gridCol w:w="1169"/>
        <w:gridCol w:w="1350"/>
        <w:gridCol w:w="1350"/>
        <w:gridCol w:w="1524"/>
      </w:tblGrid>
      <w:tr w:rsidR="00E30B54" w:rsidRPr="00E30B54" w:rsidTr="005E35A4">
        <w:trPr>
          <w:cantSplit/>
          <w:trHeight w:val="780"/>
        </w:trPr>
        <w:tc>
          <w:tcPr>
            <w:tcW w:w="2184" w:type="pct"/>
            <w:tcBorders>
              <w:top w:val="single" w:sz="4" w:space="0" w:color="auto"/>
              <w:left w:val="single" w:sz="4" w:space="0" w:color="auto"/>
              <w:bottom w:val="single" w:sz="4" w:space="0" w:color="auto"/>
              <w:right w:val="single" w:sz="4" w:space="0" w:color="auto"/>
            </w:tcBorders>
            <w:shd w:val="clear" w:color="000000" w:fill="DDD9C3"/>
            <w:noWrap/>
            <w:vAlign w:val="bottom"/>
          </w:tcPr>
          <w:p w:rsidR="00E30B54" w:rsidRPr="005E1231" w:rsidRDefault="00E30B54" w:rsidP="006429B8">
            <w:pPr>
              <w:rPr>
                <w:rFonts w:eastAsia="Times New Roman" w:cs="Arial"/>
                <w:b/>
                <w:bCs/>
                <w:color w:val="000000"/>
                <w:sz w:val="20"/>
                <w:szCs w:val="20"/>
              </w:rPr>
            </w:pPr>
            <w:r w:rsidRPr="005E1231">
              <w:rPr>
                <w:rFonts w:eastAsia="Times New Roman" w:cs="Arial"/>
                <w:b/>
                <w:bCs/>
                <w:color w:val="000000"/>
                <w:sz w:val="20"/>
                <w:szCs w:val="20"/>
              </w:rPr>
              <w:t>Category</w:t>
            </w:r>
          </w:p>
        </w:tc>
        <w:tc>
          <w:tcPr>
            <w:tcW w:w="610" w:type="pct"/>
            <w:tcBorders>
              <w:top w:val="single" w:sz="4" w:space="0" w:color="auto"/>
              <w:left w:val="nil"/>
              <w:bottom w:val="single" w:sz="4" w:space="0" w:color="auto"/>
              <w:right w:val="single" w:sz="4" w:space="0" w:color="auto"/>
            </w:tcBorders>
            <w:shd w:val="clear" w:color="000000" w:fill="DDD9C3"/>
            <w:vAlign w:val="bottom"/>
          </w:tcPr>
          <w:p w:rsidR="00E30B54" w:rsidRPr="005E1231" w:rsidRDefault="00E30B54" w:rsidP="006429B8">
            <w:pPr>
              <w:jc w:val="center"/>
              <w:rPr>
                <w:rFonts w:eastAsia="Times New Roman" w:cs="Arial"/>
                <w:b/>
                <w:bCs/>
                <w:color w:val="000000"/>
                <w:sz w:val="20"/>
                <w:szCs w:val="20"/>
              </w:rPr>
            </w:pPr>
            <w:r w:rsidRPr="005E1231">
              <w:rPr>
                <w:rFonts w:eastAsia="Times New Roman" w:cs="Arial"/>
                <w:b/>
                <w:bCs/>
                <w:color w:val="000000"/>
                <w:sz w:val="20"/>
                <w:szCs w:val="20"/>
              </w:rPr>
              <w:t>Contract</w:t>
            </w:r>
            <w:r w:rsidR="00CE3579">
              <w:rPr>
                <w:rFonts w:eastAsia="Times New Roman" w:cs="Arial"/>
                <w:b/>
                <w:bCs/>
                <w:color w:val="000000"/>
                <w:sz w:val="20"/>
                <w:szCs w:val="20"/>
              </w:rPr>
              <w:t xml:space="preserve"> RFP</w:t>
            </w:r>
            <w:r w:rsidRPr="005E1231">
              <w:rPr>
                <w:rFonts w:eastAsia="Times New Roman" w:cs="Arial"/>
                <w:b/>
                <w:bCs/>
                <w:color w:val="000000"/>
                <w:sz w:val="20"/>
                <w:szCs w:val="20"/>
              </w:rPr>
              <w:t xml:space="preserve"> </w:t>
            </w:r>
            <w:r w:rsidRPr="005E1231">
              <w:rPr>
                <w:rFonts w:eastAsia="Times New Roman" w:cs="Arial"/>
                <w:b/>
                <w:bCs/>
                <w:color w:val="000000"/>
                <w:sz w:val="20"/>
                <w:szCs w:val="20"/>
              </w:rPr>
              <w:br/>
            </w:r>
            <w:r w:rsidR="00687786">
              <w:rPr>
                <w:rFonts w:eastAsia="Times New Roman" w:cs="Arial"/>
                <w:b/>
                <w:bCs/>
                <w:color w:val="000000"/>
                <w:sz w:val="20"/>
                <w:szCs w:val="20"/>
              </w:rPr>
              <w:t>2014</w:t>
            </w:r>
          </w:p>
        </w:tc>
        <w:tc>
          <w:tcPr>
            <w:tcW w:w="705" w:type="pct"/>
            <w:tcBorders>
              <w:top w:val="single" w:sz="4" w:space="0" w:color="auto"/>
              <w:left w:val="nil"/>
              <w:bottom w:val="single" w:sz="4" w:space="0" w:color="auto"/>
              <w:right w:val="single" w:sz="4" w:space="0" w:color="auto"/>
            </w:tcBorders>
            <w:shd w:val="clear" w:color="000000" w:fill="DDD9C3"/>
            <w:vAlign w:val="bottom"/>
          </w:tcPr>
          <w:p w:rsidR="00E30B54" w:rsidRPr="005E1231" w:rsidRDefault="00E30B54" w:rsidP="006429B8">
            <w:pPr>
              <w:jc w:val="center"/>
              <w:rPr>
                <w:rFonts w:eastAsia="Times New Roman" w:cs="Arial"/>
                <w:b/>
                <w:bCs/>
                <w:color w:val="000000"/>
                <w:sz w:val="20"/>
                <w:szCs w:val="20"/>
              </w:rPr>
            </w:pPr>
            <w:r w:rsidRPr="005E1231">
              <w:rPr>
                <w:rFonts w:eastAsia="Times New Roman" w:cs="Arial"/>
                <w:b/>
                <w:bCs/>
                <w:color w:val="000000"/>
                <w:sz w:val="20"/>
                <w:szCs w:val="20"/>
              </w:rPr>
              <w:t>RTF</w:t>
            </w:r>
            <w:r w:rsidR="00CE3579">
              <w:rPr>
                <w:rFonts w:eastAsia="Times New Roman" w:cs="Arial"/>
                <w:b/>
                <w:bCs/>
                <w:color w:val="000000"/>
                <w:sz w:val="20"/>
                <w:szCs w:val="20"/>
              </w:rPr>
              <w:t xml:space="preserve"> Contract</w:t>
            </w:r>
            <w:r w:rsidRPr="005E1231">
              <w:rPr>
                <w:rFonts w:eastAsia="Times New Roman" w:cs="Arial"/>
                <w:b/>
                <w:bCs/>
                <w:color w:val="000000"/>
                <w:sz w:val="20"/>
                <w:szCs w:val="20"/>
              </w:rPr>
              <w:t xml:space="preserve"> Staff </w:t>
            </w:r>
            <w:r w:rsidRPr="005E1231">
              <w:rPr>
                <w:rFonts w:eastAsia="Times New Roman" w:cs="Arial"/>
                <w:b/>
                <w:bCs/>
                <w:color w:val="000000"/>
                <w:sz w:val="20"/>
                <w:szCs w:val="20"/>
              </w:rPr>
              <w:br/>
            </w:r>
            <w:r w:rsidR="00687786">
              <w:rPr>
                <w:rFonts w:eastAsia="Times New Roman" w:cs="Arial"/>
                <w:b/>
                <w:bCs/>
                <w:color w:val="000000"/>
                <w:sz w:val="20"/>
                <w:szCs w:val="20"/>
              </w:rPr>
              <w:t>2014</w:t>
            </w:r>
          </w:p>
        </w:tc>
        <w:tc>
          <w:tcPr>
            <w:tcW w:w="705" w:type="pct"/>
            <w:tcBorders>
              <w:top w:val="single" w:sz="4" w:space="0" w:color="auto"/>
              <w:left w:val="nil"/>
              <w:bottom w:val="single" w:sz="4" w:space="0" w:color="auto"/>
              <w:right w:val="thinThickSmallGap" w:sz="24" w:space="0" w:color="auto"/>
            </w:tcBorders>
            <w:shd w:val="clear" w:color="000000" w:fill="DDD9C3"/>
            <w:vAlign w:val="bottom"/>
          </w:tcPr>
          <w:p w:rsidR="00E30B54" w:rsidRPr="005E1231" w:rsidRDefault="00E30B54" w:rsidP="006429B8">
            <w:pPr>
              <w:jc w:val="center"/>
              <w:rPr>
                <w:rFonts w:eastAsia="Times New Roman" w:cs="Arial"/>
                <w:b/>
                <w:bCs/>
                <w:color w:val="000000"/>
                <w:sz w:val="20"/>
                <w:szCs w:val="20"/>
              </w:rPr>
            </w:pPr>
            <w:r w:rsidRPr="005E1231">
              <w:rPr>
                <w:rFonts w:eastAsia="Times New Roman" w:cs="Arial"/>
                <w:b/>
                <w:bCs/>
                <w:color w:val="000000"/>
                <w:sz w:val="20"/>
                <w:szCs w:val="20"/>
              </w:rPr>
              <w:t xml:space="preserve">Subtotal Funders </w:t>
            </w:r>
            <w:r w:rsidRPr="005E1231">
              <w:rPr>
                <w:rFonts w:eastAsia="Times New Roman" w:cs="Arial"/>
                <w:b/>
                <w:bCs/>
                <w:color w:val="000000"/>
                <w:sz w:val="20"/>
                <w:szCs w:val="20"/>
              </w:rPr>
              <w:br/>
            </w:r>
            <w:r w:rsidR="00687786">
              <w:rPr>
                <w:rFonts w:eastAsia="Times New Roman" w:cs="Arial"/>
                <w:b/>
                <w:bCs/>
                <w:color w:val="000000"/>
                <w:sz w:val="20"/>
                <w:szCs w:val="20"/>
              </w:rPr>
              <w:t>2014</w:t>
            </w:r>
          </w:p>
        </w:tc>
        <w:tc>
          <w:tcPr>
            <w:tcW w:w="796" w:type="pct"/>
            <w:tcBorders>
              <w:top w:val="single" w:sz="4" w:space="0" w:color="auto"/>
              <w:left w:val="thinThickSmallGap" w:sz="24" w:space="0" w:color="auto"/>
              <w:bottom w:val="single" w:sz="4" w:space="0" w:color="auto"/>
              <w:right w:val="single" w:sz="4" w:space="0" w:color="auto"/>
            </w:tcBorders>
            <w:shd w:val="clear" w:color="000000" w:fill="DDD9C3"/>
            <w:vAlign w:val="bottom"/>
          </w:tcPr>
          <w:p w:rsidR="00E30B54" w:rsidRPr="005E1231" w:rsidRDefault="00E30B54" w:rsidP="006429B8">
            <w:pPr>
              <w:jc w:val="center"/>
              <w:rPr>
                <w:rFonts w:eastAsia="Times New Roman" w:cs="Arial"/>
                <w:b/>
                <w:bCs/>
                <w:color w:val="000000"/>
                <w:sz w:val="20"/>
                <w:szCs w:val="20"/>
              </w:rPr>
            </w:pPr>
            <w:r w:rsidRPr="005E1231">
              <w:rPr>
                <w:rFonts w:eastAsia="Times New Roman" w:cs="Arial"/>
                <w:b/>
                <w:bCs/>
                <w:color w:val="000000"/>
                <w:sz w:val="20"/>
                <w:szCs w:val="20"/>
              </w:rPr>
              <w:t xml:space="preserve">Council In-Kind Contribution </w:t>
            </w:r>
            <w:r w:rsidR="00687786">
              <w:rPr>
                <w:rFonts w:eastAsia="Times New Roman" w:cs="Arial"/>
                <w:b/>
                <w:bCs/>
                <w:color w:val="000000"/>
                <w:sz w:val="20"/>
                <w:szCs w:val="20"/>
              </w:rPr>
              <w:t>2014</w:t>
            </w:r>
          </w:p>
        </w:tc>
      </w:tr>
      <w:tr w:rsidR="00E87DCD" w:rsidRPr="00E30B54" w:rsidTr="005E35A4">
        <w:trPr>
          <w:cantSplit/>
          <w:trHeight w:val="278"/>
        </w:trPr>
        <w:tc>
          <w:tcPr>
            <w:tcW w:w="2184" w:type="pct"/>
            <w:tcBorders>
              <w:top w:val="nil"/>
              <w:left w:val="single" w:sz="4" w:space="0" w:color="auto"/>
              <w:bottom w:val="single" w:sz="4" w:space="0" w:color="auto"/>
              <w:right w:val="nil"/>
            </w:tcBorders>
            <w:shd w:val="clear" w:color="000000" w:fill="FDE9D9"/>
            <w:vAlign w:val="center"/>
          </w:tcPr>
          <w:p w:rsidR="00E87DCD" w:rsidRPr="005E1231" w:rsidRDefault="00E87DCD" w:rsidP="006429B8">
            <w:pPr>
              <w:rPr>
                <w:rFonts w:eastAsia="Times New Roman" w:cstheme="majorHAnsi"/>
                <w:color w:val="000000"/>
                <w:sz w:val="22"/>
                <w:szCs w:val="22"/>
              </w:rPr>
            </w:pPr>
            <w:r w:rsidRPr="005E1231">
              <w:rPr>
                <w:rFonts w:eastAsia="Times New Roman" w:cstheme="majorHAnsi"/>
                <w:color w:val="000000"/>
                <w:sz w:val="22"/>
                <w:szCs w:val="22"/>
              </w:rPr>
              <w:t>Existing Measure Review &amp; Updates</w:t>
            </w:r>
          </w:p>
        </w:tc>
        <w:tc>
          <w:tcPr>
            <w:tcW w:w="610" w:type="pct"/>
            <w:tcBorders>
              <w:top w:val="nil"/>
              <w:left w:val="single" w:sz="4" w:space="0" w:color="auto"/>
              <w:bottom w:val="single" w:sz="4" w:space="0" w:color="auto"/>
              <w:right w:val="single" w:sz="4" w:space="0" w:color="auto"/>
            </w:tcBorders>
            <w:shd w:val="clear" w:color="000000" w:fill="FDE9D9"/>
            <w:noWrap/>
            <w:vAlign w:val="center"/>
          </w:tcPr>
          <w:p w:rsidR="00E87DCD" w:rsidRPr="00E87DCD" w:rsidRDefault="00E87DCD">
            <w:pPr>
              <w:jc w:val="center"/>
              <w:rPr>
                <w:color w:val="000000"/>
                <w:sz w:val="22"/>
              </w:rPr>
            </w:pPr>
            <w:r w:rsidRPr="00E87DCD">
              <w:rPr>
                <w:color w:val="000000"/>
                <w:sz w:val="22"/>
              </w:rPr>
              <w:t xml:space="preserve">$65,500 </w:t>
            </w:r>
          </w:p>
        </w:tc>
        <w:tc>
          <w:tcPr>
            <w:tcW w:w="705" w:type="pct"/>
            <w:tcBorders>
              <w:top w:val="nil"/>
              <w:left w:val="nil"/>
              <w:bottom w:val="single" w:sz="4" w:space="0" w:color="auto"/>
              <w:right w:val="single" w:sz="4" w:space="0" w:color="auto"/>
            </w:tcBorders>
            <w:shd w:val="clear" w:color="000000" w:fill="FDE9D9"/>
            <w:noWrap/>
            <w:vAlign w:val="center"/>
          </w:tcPr>
          <w:p w:rsidR="00E87DCD" w:rsidRPr="00E87DCD" w:rsidRDefault="00E87DCD">
            <w:pPr>
              <w:jc w:val="center"/>
              <w:rPr>
                <w:color w:val="000000"/>
                <w:sz w:val="22"/>
              </w:rPr>
            </w:pPr>
            <w:r w:rsidRPr="00E87DCD">
              <w:rPr>
                <w:color w:val="000000"/>
                <w:sz w:val="22"/>
              </w:rPr>
              <w:t xml:space="preserve">$410,000 </w:t>
            </w:r>
          </w:p>
        </w:tc>
        <w:tc>
          <w:tcPr>
            <w:tcW w:w="705" w:type="pct"/>
            <w:tcBorders>
              <w:top w:val="nil"/>
              <w:left w:val="nil"/>
              <w:bottom w:val="single" w:sz="4" w:space="0" w:color="auto"/>
              <w:right w:val="thinThickSmallGap" w:sz="24" w:space="0" w:color="auto"/>
            </w:tcBorders>
            <w:shd w:val="clear" w:color="000000" w:fill="FDE9D9"/>
            <w:noWrap/>
            <w:vAlign w:val="center"/>
          </w:tcPr>
          <w:p w:rsidR="00E87DCD" w:rsidRPr="00E87DCD" w:rsidRDefault="00E87DCD">
            <w:pPr>
              <w:jc w:val="center"/>
              <w:rPr>
                <w:color w:val="000000"/>
                <w:sz w:val="22"/>
              </w:rPr>
            </w:pPr>
            <w:r w:rsidRPr="00E87DCD">
              <w:rPr>
                <w:color w:val="000000"/>
                <w:sz w:val="22"/>
              </w:rPr>
              <w:t xml:space="preserve">$475,500 </w:t>
            </w:r>
          </w:p>
        </w:tc>
        <w:tc>
          <w:tcPr>
            <w:tcW w:w="796" w:type="pct"/>
            <w:tcBorders>
              <w:top w:val="single" w:sz="4" w:space="0" w:color="auto"/>
              <w:left w:val="thinThickSmallGap" w:sz="24" w:space="0" w:color="auto"/>
              <w:bottom w:val="single" w:sz="4" w:space="0" w:color="auto"/>
              <w:right w:val="single" w:sz="4" w:space="0" w:color="auto"/>
            </w:tcBorders>
            <w:shd w:val="clear" w:color="000000" w:fill="FDE9D9"/>
            <w:noWrap/>
            <w:vAlign w:val="center"/>
          </w:tcPr>
          <w:p w:rsidR="00E87DCD" w:rsidRPr="00E87DCD" w:rsidRDefault="00E87DCD">
            <w:pPr>
              <w:jc w:val="center"/>
              <w:rPr>
                <w:color w:val="000000"/>
                <w:sz w:val="22"/>
              </w:rPr>
            </w:pPr>
            <w:r w:rsidRPr="00E87DCD">
              <w:rPr>
                <w:color w:val="000000"/>
                <w:sz w:val="22"/>
              </w:rPr>
              <w:t xml:space="preserve">$7,500 </w:t>
            </w:r>
          </w:p>
        </w:tc>
      </w:tr>
      <w:tr w:rsidR="00E87DCD" w:rsidRPr="00E30B54" w:rsidTr="005E35A4">
        <w:trPr>
          <w:cantSplit/>
          <w:trHeight w:val="332"/>
        </w:trPr>
        <w:tc>
          <w:tcPr>
            <w:tcW w:w="2184" w:type="pct"/>
            <w:tcBorders>
              <w:top w:val="nil"/>
              <w:left w:val="single" w:sz="4" w:space="0" w:color="auto"/>
              <w:bottom w:val="single" w:sz="4" w:space="0" w:color="auto"/>
              <w:right w:val="nil"/>
            </w:tcBorders>
            <w:shd w:val="clear" w:color="000000" w:fill="FDE9D9"/>
            <w:vAlign w:val="center"/>
          </w:tcPr>
          <w:p w:rsidR="00E87DCD" w:rsidRPr="005E1231" w:rsidRDefault="00E87DCD" w:rsidP="006429B8">
            <w:pPr>
              <w:rPr>
                <w:rFonts w:eastAsia="Times New Roman" w:cstheme="majorHAnsi"/>
                <w:color w:val="000000"/>
                <w:sz w:val="22"/>
                <w:szCs w:val="22"/>
              </w:rPr>
            </w:pPr>
            <w:r w:rsidRPr="005E1231">
              <w:rPr>
                <w:rFonts w:eastAsia="Times New Roman" w:cstheme="majorHAnsi"/>
                <w:color w:val="000000"/>
                <w:sz w:val="22"/>
                <w:szCs w:val="22"/>
              </w:rPr>
              <w:t>New Measure Development &amp; Review of Unsolicited Proposals</w:t>
            </w:r>
          </w:p>
        </w:tc>
        <w:tc>
          <w:tcPr>
            <w:tcW w:w="610" w:type="pct"/>
            <w:tcBorders>
              <w:top w:val="nil"/>
              <w:left w:val="single" w:sz="4" w:space="0" w:color="auto"/>
              <w:bottom w:val="single" w:sz="4" w:space="0" w:color="auto"/>
              <w:right w:val="single" w:sz="4" w:space="0" w:color="auto"/>
            </w:tcBorders>
            <w:shd w:val="clear" w:color="000000" w:fill="FDE9D9"/>
            <w:noWrap/>
            <w:vAlign w:val="center"/>
          </w:tcPr>
          <w:p w:rsidR="00E87DCD" w:rsidRPr="00E87DCD" w:rsidRDefault="00E87DCD">
            <w:pPr>
              <w:jc w:val="center"/>
              <w:rPr>
                <w:color w:val="000000"/>
                <w:sz w:val="22"/>
              </w:rPr>
            </w:pPr>
            <w:r w:rsidRPr="00E87DCD">
              <w:rPr>
                <w:color w:val="000000"/>
                <w:sz w:val="22"/>
              </w:rPr>
              <w:t xml:space="preserve">$65,000 </w:t>
            </w:r>
          </w:p>
        </w:tc>
        <w:tc>
          <w:tcPr>
            <w:tcW w:w="705" w:type="pct"/>
            <w:tcBorders>
              <w:top w:val="nil"/>
              <w:left w:val="nil"/>
              <w:bottom w:val="single" w:sz="4" w:space="0" w:color="auto"/>
              <w:right w:val="single" w:sz="4" w:space="0" w:color="auto"/>
            </w:tcBorders>
            <w:shd w:val="clear" w:color="000000" w:fill="FDE9D9"/>
            <w:noWrap/>
            <w:vAlign w:val="center"/>
          </w:tcPr>
          <w:p w:rsidR="00E87DCD" w:rsidRPr="00E87DCD" w:rsidRDefault="00E87DCD">
            <w:pPr>
              <w:jc w:val="center"/>
              <w:rPr>
                <w:color w:val="000000"/>
                <w:sz w:val="22"/>
              </w:rPr>
            </w:pPr>
            <w:r w:rsidRPr="00E87DCD">
              <w:rPr>
                <w:color w:val="000000"/>
                <w:sz w:val="22"/>
              </w:rPr>
              <w:t xml:space="preserve">$140,000 </w:t>
            </w:r>
          </w:p>
        </w:tc>
        <w:tc>
          <w:tcPr>
            <w:tcW w:w="705" w:type="pct"/>
            <w:tcBorders>
              <w:top w:val="nil"/>
              <w:left w:val="nil"/>
              <w:bottom w:val="single" w:sz="4" w:space="0" w:color="auto"/>
              <w:right w:val="thinThickSmallGap" w:sz="24" w:space="0" w:color="auto"/>
            </w:tcBorders>
            <w:shd w:val="clear" w:color="000000" w:fill="FDE9D9"/>
            <w:noWrap/>
            <w:vAlign w:val="center"/>
          </w:tcPr>
          <w:p w:rsidR="00E87DCD" w:rsidRPr="00E87DCD" w:rsidRDefault="00E87DCD">
            <w:pPr>
              <w:jc w:val="center"/>
              <w:rPr>
                <w:color w:val="000000"/>
                <w:sz w:val="22"/>
              </w:rPr>
            </w:pPr>
            <w:r w:rsidRPr="00E87DCD">
              <w:rPr>
                <w:color w:val="000000"/>
                <w:sz w:val="22"/>
              </w:rPr>
              <w:t xml:space="preserve">$205,000 </w:t>
            </w:r>
          </w:p>
        </w:tc>
        <w:tc>
          <w:tcPr>
            <w:tcW w:w="796" w:type="pct"/>
            <w:tcBorders>
              <w:top w:val="single" w:sz="4" w:space="0" w:color="auto"/>
              <w:left w:val="thinThickSmallGap" w:sz="24" w:space="0" w:color="auto"/>
              <w:bottom w:val="single" w:sz="4" w:space="0" w:color="auto"/>
              <w:right w:val="single" w:sz="4" w:space="0" w:color="auto"/>
            </w:tcBorders>
            <w:shd w:val="clear" w:color="000000" w:fill="FDE9D9"/>
            <w:noWrap/>
            <w:vAlign w:val="center"/>
          </w:tcPr>
          <w:p w:rsidR="00E87DCD" w:rsidRPr="00E87DCD" w:rsidRDefault="00E87DCD">
            <w:pPr>
              <w:jc w:val="center"/>
              <w:rPr>
                <w:color w:val="000000"/>
                <w:sz w:val="22"/>
              </w:rPr>
            </w:pPr>
            <w:r w:rsidRPr="00E87DCD">
              <w:rPr>
                <w:color w:val="000000"/>
                <w:sz w:val="22"/>
              </w:rPr>
              <w:t xml:space="preserve">$3,000 </w:t>
            </w:r>
          </w:p>
        </w:tc>
      </w:tr>
      <w:tr w:rsidR="00E87DCD" w:rsidRPr="00E30B54" w:rsidTr="005E35A4">
        <w:trPr>
          <w:cantSplit/>
          <w:trHeight w:val="64"/>
        </w:trPr>
        <w:tc>
          <w:tcPr>
            <w:tcW w:w="2184" w:type="pct"/>
            <w:tcBorders>
              <w:top w:val="nil"/>
              <w:left w:val="single" w:sz="4" w:space="0" w:color="auto"/>
              <w:bottom w:val="single" w:sz="4" w:space="0" w:color="auto"/>
              <w:right w:val="nil"/>
            </w:tcBorders>
            <w:shd w:val="clear" w:color="000000" w:fill="FDE9D9"/>
            <w:vAlign w:val="center"/>
          </w:tcPr>
          <w:p w:rsidR="00E87DCD" w:rsidRPr="005E1231" w:rsidRDefault="00E87DCD" w:rsidP="006429B8">
            <w:pPr>
              <w:rPr>
                <w:rFonts w:eastAsia="Times New Roman" w:cstheme="majorHAnsi"/>
                <w:color w:val="000000"/>
                <w:sz w:val="22"/>
                <w:szCs w:val="22"/>
              </w:rPr>
            </w:pPr>
            <w:r w:rsidRPr="005E1231">
              <w:rPr>
                <w:rFonts w:eastAsia="Times New Roman" w:cstheme="majorHAnsi"/>
                <w:color w:val="000000"/>
                <w:sz w:val="22"/>
                <w:szCs w:val="22"/>
              </w:rPr>
              <w:t>Standardization of Technical Analysis</w:t>
            </w:r>
          </w:p>
        </w:tc>
        <w:tc>
          <w:tcPr>
            <w:tcW w:w="610" w:type="pct"/>
            <w:tcBorders>
              <w:top w:val="nil"/>
              <w:left w:val="single" w:sz="4" w:space="0" w:color="auto"/>
              <w:bottom w:val="single" w:sz="4" w:space="0" w:color="auto"/>
              <w:right w:val="single" w:sz="4" w:space="0" w:color="auto"/>
            </w:tcBorders>
            <w:shd w:val="clear" w:color="000000" w:fill="FDE9D9"/>
            <w:noWrap/>
            <w:vAlign w:val="center"/>
          </w:tcPr>
          <w:p w:rsidR="00E87DCD" w:rsidRPr="00E87DCD" w:rsidRDefault="00E87DCD">
            <w:pPr>
              <w:jc w:val="center"/>
              <w:rPr>
                <w:color w:val="000000"/>
                <w:sz w:val="22"/>
              </w:rPr>
            </w:pPr>
            <w:r w:rsidRPr="00E87DCD">
              <w:rPr>
                <w:color w:val="000000"/>
                <w:sz w:val="22"/>
              </w:rPr>
              <w:t xml:space="preserve">$40,000 </w:t>
            </w:r>
          </w:p>
        </w:tc>
        <w:tc>
          <w:tcPr>
            <w:tcW w:w="705" w:type="pct"/>
            <w:tcBorders>
              <w:top w:val="nil"/>
              <w:left w:val="nil"/>
              <w:bottom w:val="single" w:sz="4" w:space="0" w:color="auto"/>
              <w:right w:val="single" w:sz="4" w:space="0" w:color="auto"/>
            </w:tcBorders>
            <w:shd w:val="clear" w:color="000000" w:fill="FDE9D9"/>
            <w:noWrap/>
            <w:vAlign w:val="center"/>
          </w:tcPr>
          <w:p w:rsidR="00E87DCD" w:rsidRPr="00E87DCD" w:rsidRDefault="00E87DCD">
            <w:pPr>
              <w:jc w:val="center"/>
              <w:rPr>
                <w:color w:val="000000"/>
                <w:sz w:val="22"/>
              </w:rPr>
            </w:pPr>
            <w:r w:rsidRPr="00E87DCD">
              <w:rPr>
                <w:color w:val="000000"/>
                <w:sz w:val="22"/>
              </w:rPr>
              <w:t xml:space="preserve">$19,000 </w:t>
            </w:r>
          </w:p>
        </w:tc>
        <w:tc>
          <w:tcPr>
            <w:tcW w:w="705" w:type="pct"/>
            <w:tcBorders>
              <w:top w:val="nil"/>
              <w:left w:val="nil"/>
              <w:bottom w:val="single" w:sz="4" w:space="0" w:color="auto"/>
              <w:right w:val="thinThickSmallGap" w:sz="24" w:space="0" w:color="auto"/>
            </w:tcBorders>
            <w:shd w:val="clear" w:color="000000" w:fill="FDE9D9"/>
            <w:noWrap/>
            <w:vAlign w:val="center"/>
          </w:tcPr>
          <w:p w:rsidR="00E87DCD" w:rsidRPr="00E87DCD" w:rsidRDefault="00E87DCD">
            <w:pPr>
              <w:jc w:val="center"/>
              <w:rPr>
                <w:color w:val="000000"/>
                <w:sz w:val="22"/>
              </w:rPr>
            </w:pPr>
            <w:r w:rsidRPr="00E87DCD">
              <w:rPr>
                <w:color w:val="000000"/>
                <w:sz w:val="22"/>
              </w:rPr>
              <w:t xml:space="preserve">$59,000 </w:t>
            </w:r>
          </w:p>
        </w:tc>
        <w:tc>
          <w:tcPr>
            <w:tcW w:w="796" w:type="pct"/>
            <w:tcBorders>
              <w:top w:val="single" w:sz="4" w:space="0" w:color="auto"/>
              <w:left w:val="thinThickSmallGap" w:sz="24" w:space="0" w:color="auto"/>
              <w:bottom w:val="single" w:sz="4" w:space="0" w:color="auto"/>
              <w:right w:val="single" w:sz="4" w:space="0" w:color="auto"/>
            </w:tcBorders>
            <w:shd w:val="clear" w:color="000000" w:fill="FDE9D9"/>
            <w:noWrap/>
            <w:vAlign w:val="center"/>
          </w:tcPr>
          <w:p w:rsidR="00E87DCD" w:rsidRPr="00E87DCD" w:rsidRDefault="00E87DCD">
            <w:pPr>
              <w:jc w:val="center"/>
              <w:rPr>
                <w:color w:val="000000"/>
                <w:sz w:val="22"/>
              </w:rPr>
            </w:pPr>
            <w:r w:rsidRPr="00E87DCD">
              <w:rPr>
                <w:color w:val="000000"/>
                <w:sz w:val="22"/>
              </w:rPr>
              <w:t xml:space="preserve">$1,100 </w:t>
            </w:r>
          </w:p>
        </w:tc>
      </w:tr>
      <w:tr w:rsidR="00E87DCD" w:rsidRPr="00E30B54" w:rsidTr="005E35A4">
        <w:trPr>
          <w:cantSplit/>
          <w:trHeight w:val="89"/>
        </w:trPr>
        <w:tc>
          <w:tcPr>
            <w:tcW w:w="2184" w:type="pct"/>
            <w:tcBorders>
              <w:top w:val="nil"/>
              <w:left w:val="single" w:sz="4" w:space="0" w:color="auto"/>
              <w:bottom w:val="single" w:sz="4" w:space="0" w:color="auto"/>
              <w:right w:val="nil"/>
            </w:tcBorders>
            <w:shd w:val="clear" w:color="000000" w:fill="D7E4BC"/>
            <w:vAlign w:val="center"/>
          </w:tcPr>
          <w:p w:rsidR="00E87DCD" w:rsidRPr="005E1231" w:rsidRDefault="00E87DCD" w:rsidP="006429B8">
            <w:pPr>
              <w:rPr>
                <w:rFonts w:eastAsia="Times New Roman" w:cstheme="majorHAnsi"/>
                <w:color w:val="000000"/>
                <w:sz w:val="22"/>
                <w:szCs w:val="22"/>
              </w:rPr>
            </w:pPr>
            <w:r w:rsidRPr="005E1231">
              <w:rPr>
                <w:rFonts w:eastAsia="Times New Roman" w:cstheme="majorHAnsi"/>
                <w:color w:val="000000"/>
                <w:sz w:val="22"/>
                <w:szCs w:val="22"/>
              </w:rPr>
              <w:t>Tool Development</w:t>
            </w:r>
          </w:p>
        </w:tc>
        <w:tc>
          <w:tcPr>
            <w:tcW w:w="610" w:type="pct"/>
            <w:tcBorders>
              <w:top w:val="nil"/>
              <w:left w:val="single" w:sz="4" w:space="0" w:color="auto"/>
              <w:bottom w:val="single" w:sz="4" w:space="0" w:color="auto"/>
              <w:right w:val="single" w:sz="4" w:space="0" w:color="auto"/>
            </w:tcBorders>
            <w:shd w:val="clear" w:color="000000" w:fill="D7E4BC"/>
            <w:noWrap/>
            <w:vAlign w:val="center"/>
          </w:tcPr>
          <w:p w:rsidR="00E87DCD" w:rsidRPr="00E87DCD" w:rsidRDefault="00E87DCD">
            <w:pPr>
              <w:jc w:val="center"/>
              <w:rPr>
                <w:color w:val="000000"/>
                <w:sz w:val="22"/>
              </w:rPr>
            </w:pPr>
            <w:r w:rsidRPr="00E87DCD">
              <w:rPr>
                <w:color w:val="000000"/>
                <w:sz w:val="22"/>
              </w:rPr>
              <w:t xml:space="preserve">$65,000 </w:t>
            </w:r>
          </w:p>
        </w:tc>
        <w:tc>
          <w:tcPr>
            <w:tcW w:w="705" w:type="pct"/>
            <w:tcBorders>
              <w:top w:val="nil"/>
              <w:left w:val="nil"/>
              <w:bottom w:val="single" w:sz="4" w:space="0" w:color="auto"/>
              <w:right w:val="single" w:sz="4" w:space="0" w:color="auto"/>
            </w:tcBorders>
            <w:shd w:val="clear" w:color="000000" w:fill="D7E4BC"/>
            <w:noWrap/>
            <w:vAlign w:val="center"/>
          </w:tcPr>
          <w:p w:rsidR="00E87DCD" w:rsidRPr="00E87DCD" w:rsidRDefault="00E87DCD">
            <w:pPr>
              <w:jc w:val="center"/>
              <w:rPr>
                <w:color w:val="000000"/>
                <w:sz w:val="22"/>
              </w:rPr>
            </w:pPr>
            <w:r w:rsidRPr="00E87DCD">
              <w:rPr>
                <w:color w:val="000000"/>
                <w:sz w:val="22"/>
              </w:rPr>
              <w:t xml:space="preserve">$120,000 </w:t>
            </w:r>
          </w:p>
        </w:tc>
        <w:tc>
          <w:tcPr>
            <w:tcW w:w="705" w:type="pct"/>
            <w:tcBorders>
              <w:top w:val="nil"/>
              <w:left w:val="nil"/>
              <w:bottom w:val="single" w:sz="4" w:space="0" w:color="auto"/>
              <w:right w:val="thinThickSmallGap" w:sz="24" w:space="0" w:color="auto"/>
            </w:tcBorders>
            <w:shd w:val="clear" w:color="000000" w:fill="D7E4BC"/>
            <w:noWrap/>
            <w:vAlign w:val="center"/>
          </w:tcPr>
          <w:p w:rsidR="00E87DCD" w:rsidRPr="00E87DCD" w:rsidRDefault="00E87DCD">
            <w:pPr>
              <w:jc w:val="center"/>
              <w:rPr>
                <w:color w:val="000000"/>
                <w:sz w:val="22"/>
              </w:rPr>
            </w:pPr>
            <w:r w:rsidRPr="00E87DCD">
              <w:rPr>
                <w:color w:val="000000"/>
                <w:sz w:val="22"/>
              </w:rPr>
              <w:t xml:space="preserve">$185,000 </w:t>
            </w:r>
          </w:p>
        </w:tc>
        <w:tc>
          <w:tcPr>
            <w:tcW w:w="796" w:type="pct"/>
            <w:tcBorders>
              <w:top w:val="single" w:sz="4" w:space="0" w:color="auto"/>
              <w:left w:val="thinThickSmallGap" w:sz="24" w:space="0" w:color="auto"/>
              <w:bottom w:val="single" w:sz="4" w:space="0" w:color="auto"/>
              <w:right w:val="single" w:sz="4" w:space="0" w:color="auto"/>
            </w:tcBorders>
            <w:shd w:val="clear" w:color="000000" w:fill="D7E4BC"/>
            <w:noWrap/>
            <w:vAlign w:val="center"/>
          </w:tcPr>
          <w:p w:rsidR="00E87DCD" w:rsidRPr="00E87DCD" w:rsidRDefault="00E87DCD">
            <w:pPr>
              <w:jc w:val="center"/>
              <w:rPr>
                <w:color w:val="000000"/>
                <w:sz w:val="22"/>
              </w:rPr>
            </w:pPr>
            <w:r w:rsidRPr="00E87DCD">
              <w:rPr>
                <w:color w:val="000000"/>
                <w:sz w:val="22"/>
              </w:rPr>
              <w:t xml:space="preserve">$25,000 </w:t>
            </w:r>
          </w:p>
        </w:tc>
      </w:tr>
      <w:tr w:rsidR="00E87DCD" w:rsidRPr="00E30B54" w:rsidTr="005E35A4">
        <w:trPr>
          <w:cantSplit/>
          <w:trHeight w:val="64"/>
        </w:trPr>
        <w:tc>
          <w:tcPr>
            <w:tcW w:w="2184" w:type="pct"/>
            <w:tcBorders>
              <w:top w:val="nil"/>
              <w:left w:val="single" w:sz="4" w:space="0" w:color="auto"/>
              <w:bottom w:val="single" w:sz="4" w:space="0" w:color="auto"/>
              <w:right w:val="nil"/>
            </w:tcBorders>
            <w:shd w:val="clear" w:color="000000" w:fill="D7E4BC"/>
            <w:vAlign w:val="center"/>
          </w:tcPr>
          <w:p w:rsidR="00E87DCD" w:rsidRPr="005E1231" w:rsidRDefault="00E87DCD" w:rsidP="006429B8">
            <w:pPr>
              <w:rPr>
                <w:rFonts w:eastAsia="Times New Roman" w:cstheme="majorHAnsi"/>
                <w:color w:val="000000"/>
                <w:sz w:val="22"/>
                <w:szCs w:val="22"/>
              </w:rPr>
            </w:pPr>
            <w:r w:rsidRPr="005E1231">
              <w:rPr>
                <w:rFonts w:eastAsia="Times New Roman" w:cstheme="majorHAnsi"/>
                <w:color w:val="000000"/>
                <w:sz w:val="22"/>
                <w:szCs w:val="22"/>
              </w:rPr>
              <w:t>Research Projects &amp; Data Development</w:t>
            </w:r>
          </w:p>
        </w:tc>
        <w:tc>
          <w:tcPr>
            <w:tcW w:w="610" w:type="pct"/>
            <w:tcBorders>
              <w:top w:val="nil"/>
              <w:left w:val="single" w:sz="4" w:space="0" w:color="auto"/>
              <w:bottom w:val="single" w:sz="4" w:space="0" w:color="auto"/>
              <w:right w:val="single" w:sz="4" w:space="0" w:color="auto"/>
            </w:tcBorders>
            <w:shd w:val="clear" w:color="000000" w:fill="D7E4BC"/>
            <w:noWrap/>
            <w:vAlign w:val="center"/>
          </w:tcPr>
          <w:p w:rsidR="00E87DCD" w:rsidRPr="00E87DCD" w:rsidRDefault="00E87DCD">
            <w:pPr>
              <w:jc w:val="center"/>
              <w:rPr>
                <w:color w:val="000000"/>
                <w:sz w:val="22"/>
              </w:rPr>
            </w:pPr>
            <w:r w:rsidRPr="00E87DCD">
              <w:rPr>
                <w:color w:val="000000"/>
                <w:sz w:val="22"/>
              </w:rPr>
              <w:t xml:space="preserve">$60,000 </w:t>
            </w:r>
          </w:p>
        </w:tc>
        <w:tc>
          <w:tcPr>
            <w:tcW w:w="705" w:type="pct"/>
            <w:tcBorders>
              <w:top w:val="nil"/>
              <w:left w:val="nil"/>
              <w:bottom w:val="single" w:sz="4" w:space="0" w:color="auto"/>
              <w:right w:val="single" w:sz="4" w:space="0" w:color="auto"/>
            </w:tcBorders>
            <w:shd w:val="clear" w:color="000000" w:fill="D7E4BC"/>
            <w:noWrap/>
            <w:vAlign w:val="center"/>
          </w:tcPr>
          <w:p w:rsidR="00E87DCD" w:rsidRPr="00E87DCD" w:rsidRDefault="00E87DCD">
            <w:pPr>
              <w:jc w:val="center"/>
              <w:rPr>
                <w:color w:val="000000"/>
                <w:sz w:val="22"/>
              </w:rPr>
            </w:pPr>
            <w:r w:rsidRPr="00E87DCD">
              <w:rPr>
                <w:color w:val="000000"/>
                <w:sz w:val="22"/>
              </w:rPr>
              <w:t xml:space="preserve">$60,000 </w:t>
            </w:r>
          </w:p>
        </w:tc>
        <w:tc>
          <w:tcPr>
            <w:tcW w:w="705" w:type="pct"/>
            <w:tcBorders>
              <w:top w:val="nil"/>
              <w:left w:val="nil"/>
              <w:bottom w:val="single" w:sz="4" w:space="0" w:color="auto"/>
              <w:right w:val="thinThickSmallGap" w:sz="24" w:space="0" w:color="auto"/>
            </w:tcBorders>
            <w:shd w:val="clear" w:color="000000" w:fill="D7E4BC"/>
            <w:noWrap/>
            <w:vAlign w:val="center"/>
          </w:tcPr>
          <w:p w:rsidR="00E87DCD" w:rsidRPr="00E87DCD" w:rsidRDefault="00E87DCD">
            <w:pPr>
              <w:jc w:val="center"/>
              <w:rPr>
                <w:color w:val="000000"/>
                <w:sz w:val="22"/>
              </w:rPr>
            </w:pPr>
            <w:r w:rsidRPr="00E87DCD">
              <w:rPr>
                <w:color w:val="000000"/>
                <w:sz w:val="22"/>
              </w:rPr>
              <w:t xml:space="preserve">$120,000 </w:t>
            </w:r>
          </w:p>
        </w:tc>
        <w:tc>
          <w:tcPr>
            <w:tcW w:w="796" w:type="pct"/>
            <w:tcBorders>
              <w:top w:val="single" w:sz="4" w:space="0" w:color="auto"/>
              <w:left w:val="thinThickSmallGap" w:sz="24" w:space="0" w:color="auto"/>
              <w:bottom w:val="single" w:sz="4" w:space="0" w:color="auto"/>
              <w:right w:val="single" w:sz="4" w:space="0" w:color="auto"/>
            </w:tcBorders>
            <w:shd w:val="clear" w:color="000000" w:fill="D7E4BC"/>
            <w:noWrap/>
            <w:vAlign w:val="center"/>
          </w:tcPr>
          <w:p w:rsidR="00E87DCD" w:rsidRPr="00E87DCD" w:rsidRDefault="00E87DCD">
            <w:pPr>
              <w:jc w:val="center"/>
              <w:rPr>
                <w:color w:val="000000"/>
                <w:sz w:val="22"/>
              </w:rPr>
            </w:pPr>
            <w:r w:rsidRPr="00E87DCD">
              <w:rPr>
                <w:color w:val="000000"/>
                <w:sz w:val="22"/>
              </w:rPr>
              <w:t xml:space="preserve">$42,500 </w:t>
            </w:r>
          </w:p>
        </w:tc>
      </w:tr>
      <w:tr w:rsidR="00E87DCD" w:rsidRPr="00E30B54" w:rsidTr="005E35A4">
        <w:trPr>
          <w:cantSplit/>
          <w:trHeight w:val="64"/>
        </w:trPr>
        <w:tc>
          <w:tcPr>
            <w:tcW w:w="2184" w:type="pct"/>
            <w:tcBorders>
              <w:top w:val="nil"/>
              <w:left w:val="single" w:sz="4" w:space="0" w:color="auto"/>
              <w:bottom w:val="single" w:sz="4" w:space="0" w:color="auto"/>
              <w:right w:val="nil"/>
            </w:tcBorders>
            <w:shd w:val="clear" w:color="000000" w:fill="D7E4BC"/>
            <w:vAlign w:val="center"/>
          </w:tcPr>
          <w:p w:rsidR="00E87DCD" w:rsidRPr="005E1231" w:rsidRDefault="00E87DCD" w:rsidP="006429B8">
            <w:pPr>
              <w:rPr>
                <w:rFonts w:eastAsia="Times New Roman" w:cstheme="majorHAnsi"/>
                <w:color w:val="000000"/>
                <w:sz w:val="22"/>
                <w:szCs w:val="22"/>
              </w:rPr>
            </w:pPr>
            <w:r w:rsidRPr="005E1231">
              <w:rPr>
                <w:rFonts w:eastAsia="Times New Roman" w:cstheme="majorHAnsi"/>
                <w:color w:val="000000"/>
                <w:sz w:val="22"/>
                <w:szCs w:val="22"/>
              </w:rPr>
              <w:t>Regional Coordination</w:t>
            </w:r>
          </w:p>
        </w:tc>
        <w:tc>
          <w:tcPr>
            <w:tcW w:w="610" w:type="pct"/>
            <w:tcBorders>
              <w:top w:val="nil"/>
              <w:left w:val="single" w:sz="4" w:space="0" w:color="auto"/>
              <w:bottom w:val="single" w:sz="4" w:space="0" w:color="auto"/>
              <w:right w:val="single" w:sz="4" w:space="0" w:color="auto"/>
            </w:tcBorders>
            <w:shd w:val="clear" w:color="000000" w:fill="D7E4BC"/>
            <w:noWrap/>
            <w:vAlign w:val="center"/>
          </w:tcPr>
          <w:p w:rsidR="00E87DCD" w:rsidRPr="00E87DCD" w:rsidRDefault="00E87DCD">
            <w:pPr>
              <w:jc w:val="center"/>
              <w:rPr>
                <w:color w:val="000000"/>
                <w:sz w:val="22"/>
              </w:rPr>
            </w:pPr>
            <w:r w:rsidRPr="00E87DCD">
              <w:rPr>
                <w:color w:val="000000"/>
                <w:sz w:val="22"/>
              </w:rPr>
              <w:t xml:space="preserve">$12,500 </w:t>
            </w:r>
          </w:p>
        </w:tc>
        <w:tc>
          <w:tcPr>
            <w:tcW w:w="705" w:type="pct"/>
            <w:tcBorders>
              <w:top w:val="nil"/>
              <w:left w:val="nil"/>
              <w:bottom w:val="single" w:sz="4" w:space="0" w:color="auto"/>
              <w:right w:val="single" w:sz="4" w:space="0" w:color="auto"/>
            </w:tcBorders>
            <w:shd w:val="clear" w:color="000000" w:fill="D7E4BC"/>
            <w:noWrap/>
            <w:vAlign w:val="center"/>
          </w:tcPr>
          <w:p w:rsidR="00E87DCD" w:rsidRPr="00E87DCD" w:rsidRDefault="00E87DCD">
            <w:pPr>
              <w:jc w:val="center"/>
              <w:rPr>
                <w:color w:val="000000"/>
                <w:sz w:val="22"/>
              </w:rPr>
            </w:pPr>
            <w:r w:rsidRPr="00E87DCD">
              <w:rPr>
                <w:color w:val="000000"/>
                <w:sz w:val="22"/>
              </w:rPr>
              <w:t xml:space="preserve">$6,000 </w:t>
            </w:r>
          </w:p>
        </w:tc>
        <w:tc>
          <w:tcPr>
            <w:tcW w:w="705" w:type="pct"/>
            <w:tcBorders>
              <w:top w:val="nil"/>
              <w:left w:val="nil"/>
              <w:bottom w:val="single" w:sz="4" w:space="0" w:color="auto"/>
              <w:right w:val="thinThickSmallGap" w:sz="24" w:space="0" w:color="auto"/>
            </w:tcBorders>
            <w:shd w:val="clear" w:color="000000" w:fill="D7E4BC"/>
            <w:noWrap/>
            <w:vAlign w:val="center"/>
          </w:tcPr>
          <w:p w:rsidR="00E87DCD" w:rsidRPr="00E87DCD" w:rsidRDefault="00E87DCD">
            <w:pPr>
              <w:jc w:val="center"/>
              <w:rPr>
                <w:color w:val="000000"/>
                <w:sz w:val="22"/>
              </w:rPr>
            </w:pPr>
            <w:r w:rsidRPr="00E87DCD">
              <w:rPr>
                <w:color w:val="000000"/>
                <w:sz w:val="22"/>
              </w:rPr>
              <w:t xml:space="preserve">$18,500 </w:t>
            </w:r>
          </w:p>
        </w:tc>
        <w:tc>
          <w:tcPr>
            <w:tcW w:w="796" w:type="pct"/>
            <w:tcBorders>
              <w:top w:val="single" w:sz="4" w:space="0" w:color="auto"/>
              <w:left w:val="thinThickSmallGap" w:sz="24" w:space="0" w:color="auto"/>
              <w:bottom w:val="single" w:sz="4" w:space="0" w:color="auto"/>
              <w:right w:val="single" w:sz="4" w:space="0" w:color="auto"/>
            </w:tcBorders>
            <w:shd w:val="clear" w:color="000000" w:fill="D7E4BC"/>
            <w:noWrap/>
            <w:vAlign w:val="center"/>
          </w:tcPr>
          <w:p w:rsidR="00E87DCD" w:rsidRPr="00E87DCD" w:rsidRDefault="00E87DCD">
            <w:pPr>
              <w:jc w:val="center"/>
              <w:rPr>
                <w:color w:val="000000"/>
                <w:sz w:val="22"/>
              </w:rPr>
            </w:pPr>
            <w:r w:rsidRPr="00E87DCD">
              <w:rPr>
                <w:color w:val="000000"/>
                <w:sz w:val="22"/>
              </w:rPr>
              <w:t xml:space="preserve">$6,000 </w:t>
            </w:r>
          </w:p>
        </w:tc>
      </w:tr>
      <w:tr w:rsidR="00E87DCD" w:rsidRPr="00E30B54" w:rsidTr="005E35A4">
        <w:trPr>
          <w:cantSplit/>
          <w:trHeight w:val="143"/>
        </w:trPr>
        <w:tc>
          <w:tcPr>
            <w:tcW w:w="2184" w:type="pct"/>
            <w:tcBorders>
              <w:top w:val="nil"/>
              <w:left w:val="single" w:sz="4" w:space="0" w:color="auto"/>
              <w:bottom w:val="single" w:sz="4" w:space="0" w:color="auto"/>
              <w:right w:val="nil"/>
            </w:tcBorders>
            <w:shd w:val="clear" w:color="000000" w:fill="DBE5F1"/>
            <w:vAlign w:val="center"/>
          </w:tcPr>
          <w:p w:rsidR="00E87DCD" w:rsidRPr="005E1231" w:rsidRDefault="00E87DCD" w:rsidP="006429B8">
            <w:pPr>
              <w:rPr>
                <w:rFonts w:eastAsia="Times New Roman" w:cstheme="majorHAnsi"/>
                <w:color w:val="000000"/>
                <w:sz w:val="22"/>
                <w:szCs w:val="22"/>
              </w:rPr>
            </w:pPr>
            <w:r w:rsidRPr="005E1231">
              <w:rPr>
                <w:rFonts w:eastAsia="Times New Roman" w:cstheme="majorHAnsi"/>
                <w:color w:val="000000"/>
                <w:sz w:val="22"/>
                <w:szCs w:val="22"/>
              </w:rPr>
              <w:t xml:space="preserve">Website, Database support, Conservation Tracking </w:t>
            </w:r>
          </w:p>
        </w:tc>
        <w:tc>
          <w:tcPr>
            <w:tcW w:w="610" w:type="pct"/>
            <w:tcBorders>
              <w:top w:val="nil"/>
              <w:left w:val="single" w:sz="4" w:space="0" w:color="auto"/>
              <w:bottom w:val="single" w:sz="4" w:space="0" w:color="auto"/>
              <w:right w:val="single" w:sz="4" w:space="0" w:color="auto"/>
            </w:tcBorders>
            <w:shd w:val="clear" w:color="000000" w:fill="DBE5F1"/>
            <w:noWrap/>
            <w:vAlign w:val="center"/>
          </w:tcPr>
          <w:p w:rsidR="00E87DCD" w:rsidRPr="00E87DCD" w:rsidRDefault="00E87DCD">
            <w:pPr>
              <w:jc w:val="center"/>
              <w:rPr>
                <w:color w:val="000000"/>
                <w:sz w:val="22"/>
              </w:rPr>
            </w:pPr>
            <w:r w:rsidRPr="00E87DCD">
              <w:rPr>
                <w:color w:val="000000"/>
                <w:sz w:val="22"/>
              </w:rPr>
              <w:t xml:space="preserve">$25,000 </w:t>
            </w:r>
          </w:p>
        </w:tc>
        <w:tc>
          <w:tcPr>
            <w:tcW w:w="705" w:type="pct"/>
            <w:tcBorders>
              <w:top w:val="nil"/>
              <w:left w:val="nil"/>
              <w:bottom w:val="single" w:sz="4" w:space="0" w:color="auto"/>
              <w:right w:val="single" w:sz="4" w:space="0" w:color="auto"/>
            </w:tcBorders>
            <w:shd w:val="clear" w:color="000000" w:fill="DBE5F1"/>
            <w:noWrap/>
            <w:vAlign w:val="center"/>
          </w:tcPr>
          <w:p w:rsidR="00E87DCD" w:rsidRPr="00E87DCD" w:rsidRDefault="00E87DCD">
            <w:pPr>
              <w:jc w:val="center"/>
              <w:rPr>
                <w:color w:val="000000"/>
                <w:sz w:val="22"/>
              </w:rPr>
            </w:pPr>
            <w:r w:rsidRPr="00E87DCD">
              <w:rPr>
                <w:color w:val="000000"/>
                <w:sz w:val="22"/>
              </w:rPr>
              <w:t xml:space="preserve">$40,000 </w:t>
            </w:r>
          </w:p>
        </w:tc>
        <w:tc>
          <w:tcPr>
            <w:tcW w:w="705" w:type="pct"/>
            <w:tcBorders>
              <w:top w:val="nil"/>
              <w:left w:val="nil"/>
              <w:bottom w:val="single" w:sz="4" w:space="0" w:color="auto"/>
              <w:right w:val="thinThickSmallGap" w:sz="24" w:space="0" w:color="auto"/>
            </w:tcBorders>
            <w:shd w:val="clear" w:color="000000" w:fill="DBE5F1"/>
            <w:noWrap/>
            <w:vAlign w:val="center"/>
          </w:tcPr>
          <w:p w:rsidR="00E87DCD" w:rsidRPr="00E87DCD" w:rsidRDefault="00E87DCD">
            <w:pPr>
              <w:jc w:val="center"/>
              <w:rPr>
                <w:color w:val="000000"/>
                <w:sz w:val="22"/>
              </w:rPr>
            </w:pPr>
            <w:r w:rsidRPr="00E87DCD">
              <w:rPr>
                <w:color w:val="000000"/>
                <w:sz w:val="22"/>
              </w:rPr>
              <w:t xml:space="preserve">$65,000 </w:t>
            </w:r>
          </w:p>
        </w:tc>
        <w:tc>
          <w:tcPr>
            <w:tcW w:w="796" w:type="pct"/>
            <w:tcBorders>
              <w:top w:val="single" w:sz="4" w:space="0" w:color="auto"/>
              <w:left w:val="thinThickSmallGap" w:sz="24" w:space="0" w:color="auto"/>
              <w:bottom w:val="single" w:sz="4" w:space="0" w:color="auto"/>
              <w:right w:val="single" w:sz="4" w:space="0" w:color="auto"/>
            </w:tcBorders>
            <w:shd w:val="clear" w:color="000000" w:fill="DBE5F1"/>
            <w:noWrap/>
            <w:vAlign w:val="center"/>
          </w:tcPr>
          <w:p w:rsidR="00E87DCD" w:rsidRPr="00E87DCD" w:rsidRDefault="00E87DCD">
            <w:pPr>
              <w:jc w:val="center"/>
              <w:rPr>
                <w:color w:val="000000"/>
                <w:sz w:val="22"/>
              </w:rPr>
            </w:pPr>
            <w:r w:rsidRPr="00E87DCD">
              <w:rPr>
                <w:color w:val="000000"/>
                <w:sz w:val="22"/>
              </w:rPr>
              <w:t xml:space="preserve">$75,000 </w:t>
            </w:r>
          </w:p>
        </w:tc>
      </w:tr>
      <w:tr w:rsidR="00E87DCD" w:rsidRPr="00E30B54" w:rsidTr="005E35A4">
        <w:trPr>
          <w:cantSplit/>
          <w:trHeight w:val="64"/>
        </w:trPr>
        <w:tc>
          <w:tcPr>
            <w:tcW w:w="2184" w:type="pct"/>
            <w:tcBorders>
              <w:top w:val="nil"/>
              <w:left w:val="single" w:sz="4" w:space="0" w:color="auto"/>
              <w:bottom w:val="single" w:sz="4" w:space="0" w:color="auto"/>
              <w:right w:val="nil"/>
            </w:tcBorders>
            <w:shd w:val="clear" w:color="000000" w:fill="DBE5F1"/>
            <w:vAlign w:val="center"/>
          </w:tcPr>
          <w:p w:rsidR="00E87DCD" w:rsidRPr="005E1231" w:rsidRDefault="00E87DCD" w:rsidP="006429B8">
            <w:pPr>
              <w:rPr>
                <w:rFonts w:eastAsia="Times New Roman" w:cstheme="majorHAnsi"/>
                <w:color w:val="000000"/>
                <w:sz w:val="22"/>
                <w:szCs w:val="22"/>
              </w:rPr>
            </w:pPr>
            <w:r w:rsidRPr="005E1231">
              <w:rPr>
                <w:rFonts w:eastAsia="Times New Roman" w:cstheme="majorHAnsi"/>
                <w:color w:val="000000"/>
                <w:sz w:val="22"/>
                <w:szCs w:val="22"/>
              </w:rPr>
              <w:t>RTF Member Support &amp; Administration</w:t>
            </w:r>
          </w:p>
        </w:tc>
        <w:tc>
          <w:tcPr>
            <w:tcW w:w="610" w:type="pct"/>
            <w:tcBorders>
              <w:top w:val="nil"/>
              <w:left w:val="single" w:sz="4" w:space="0" w:color="auto"/>
              <w:bottom w:val="single" w:sz="4" w:space="0" w:color="auto"/>
              <w:right w:val="single" w:sz="4" w:space="0" w:color="auto"/>
            </w:tcBorders>
            <w:shd w:val="clear" w:color="000000" w:fill="DBE5F1"/>
            <w:noWrap/>
            <w:vAlign w:val="center"/>
          </w:tcPr>
          <w:p w:rsidR="00E87DCD" w:rsidRPr="00E87DCD" w:rsidRDefault="00E87DCD">
            <w:pPr>
              <w:jc w:val="center"/>
              <w:rPr>
                <w:color w:val="000000"/>
                <w:sz w:val="22"/>
              </w:rPr>
            </w:pPr>
            <w:r w:rsidRPr="00E87DCD">
              <w:rPr>
                <w:color w:val="000000"/>
                <w:sz w:val="22"/>
              </w:rPr>
              <w:t xml:space="preserve">$145,000 </w:t>
            </w:r>
          </w:p>
        </w:tc>
        <w:tc>
          <w:tcPr>
            <w:tcW w:w="705" w:type="pct"/>
            <w:tcBorders>
              <w:top w:val="nil"/>
              <w:left w:val="nil"/>
              <w:bottom w:val="single" w:sz="4" w:space="0" w:color="auto"/>
              <w:right w:val="single" w:sz="4" w:space="0" w:color="auto"/>
            </w:tcBorders>
            <w:shd w:val="clear" w:color="000000" w:fill="DBE5F1"/>
            <w:noWrap/>
            <w:vAlign w:val="center"/>
          </w:tcPr>
          <w:p w:rsidR="00E87DCD" w:rsidRPr="00E87DCD" w:rsidRDefault="00E87DCD">
            <w:pPr>
              <w:jc w:val="center"/>
              <w:rPr>
                <w:color w:val="000000"/>
                <w:sz w:val="22"/>
              </w:rPr>
            </w:pPr>
            <w:r w:rsidRPr="00E87DCD">
              <w:rPr>
                <w:color w:val="000000"/>
                <w:sz w:val="22"/>
              </w:rPr>
              <w:t xml:space="preserve">$0 </w:t>
            </w:r>
          </w:p>
        </w:tc>
        <w:tc>
          <w:tcPr>
            <w:tcW w:w="705" w:type="pct"/>
            <w:tcBorders>
              <w:top w:val="nil"/>
              <w:left w:val="nil"/>
              <w:bottom w:val="single" w:sz="4" w:space="0" w:color="auto"/>
              <w:right w:val="thinThickSmallGap" w:sz="24" w:space="0" w:color="auto"/>
            </w:tcBorders>
            <w:shd w:val="clear" w:color="000000" w:fill="DBE5F1"/>
            <w:noWrap/>
            <w:vAlign w:val="center"/>
          </w:tcPr>
          <w:p w:rsidR="00E87DCD" w:rsidRPr="00E87DCD" w:rsidRDefault="00E87DCD">
            <w:pPr>
              <w:jc w:val="center"/>
              <w:rPr>
                <w:color w:val="000000"/>
                <w:sz w:val="22"/>
              </w:rPr>
            </w:pPr>
            <w:r w:rsidRPr="00E87DCD">
              <w:rPr>
                <w:color w:val="000000"/>
                <w:sz w:val="22"/>
              </w:rPr>
              <w:t xml:space="preserve">$145,000 </w:t>
            </w:r>
          </w:p>
        </w:tc>
        <w:tc>
          <w:tcPr>
            <w:tcW w:w="796" w:type="pct"/>
            <w:tcBorders>
              <w:top w:val="single" w:sz="4" w:space="0" w:color="auto"/>
              <w:left w:val="thinThickSmallGap" w:sz="24" w:space="0" w:color="auto"/>
              <w:bottom w:val="single" w:sz="4" w:space="0" w:color="auto"/>
              <w:right w:val="single" w:sz="4" w:space="0" w:color="auto"/>
            </w:tcBorders>
            <w:shd w:val="clear" w:color="000000" w:fill="DBE5F1"/>
            <w:noWrap/>
            <w:vAlign w:val="center"/>
          </w:tcPr>
          <w:p w:rsidR="00E87DCD" w:rsidRPr="00E87DCD" w:rsidRDefault="00E87DCD">
            <w:pPr>
              <w:jc w:val="center"/>
              <w:rPr>
                <w:color w:val="000000"/>
                <w:sz w:val="22"/>
              </w:rPr>
            </w:pPr>
            <w:r w:rsidRPr="00E87DCD">
              <w:rPr>
                <w:color w:val="000000"/>
                <w:sz w:val="22"/>
              </w:rPr>
              <w:t xml:space="preserve">$5,000 </w:t>
            </w:r>
          </w:p>
        </w:tc>
      </w:tr>
      <w:tr w:rsidR="00E87DCD" w:rsidRPr="00E30B54" w:rsidTr="005E35A4">
        <w:trPr>
          <w:cantSplit/>
          <w:trHeight w:val="64"/>
        </w:trPr>
        <w:tc>
          <w:tcPr>
            <w:tcW w:w="2184" w:type="pct"/>
            <w:tcBorders>
              <w:top w:val="nil"/>
              <w:left w:val="single" w:sz="4" w:space="0" w:color="auto"/>
              <w:bottom w:val="single" w:sz="4" w:space="0" w:color="auto"/>
              <w:right w:val="nil"/>
            </w:tcBorders>
            <w:shd w:val="clear" w:color="000000" w:fill="DBE5F1"/>
            <w:vAlign w:val="center"/>
          </w:tcPr>
          <w:p w:rsidR="00E87DCD" w:rsidRPr="005E1231" w:rsidRDefault="00E87DCD" w:rsidP="006429B8">
            <w:pPr>
              <w:rPr>
                <w:rFonts w:eastAsia="Times New Roman" w:cstheme="majorHAnsi"/>
                <w:color w:val="000000"/>
                <w:sz w:val="22"/>
                <w:szCs w:val="22"/>
              </w:rPr>
            </w:pPr>
            <w:r w:rsidRPr="005E1231">
              <w:rPr>
                <w:rFonts w:eastAsia="Times New Roman" w:cstheme="majorHAnsi"/>
                <w:color w:val="000000"/>
                <w:sz w:val="22"/>
                <w:szCs w:val="22"/>
              </w:rPr>
              <w:t>RTF Management</w:t>
            </w:r>
          </w:p>
        </w:tc>
        <w:tc>
          <w:tcPr>
            <w:tcW w:w="610" w:type="pct"/>
            <w:tcBorders>
              <w:top w:val="nil"/>
              <w:left w:val="single" w:sz="4" w:space="0" w:color="auto"/>
              <w:bottom w:val="single" w:sz="4" w:space="0" w:color="auto"/>
              <w:right w:val="single" w:sz="4" w:space="0" w:color="auto"/>
            </w:tcBorders>
            <w:shd w:val="clear" w:color="000000" w:fill="DBE5F1"/>
            <w:noWrap/>
            <w:vAlign w:val="center"/>
          </w:tcPr>
          <w:p w:rsidR="00E87DCD" w:rsidRPr="00E87DCD" w:rsidRDefault="00E87DCD">
            <w:pPr>
              <w:jc w:val="center"/>
              <w:rPr>
                <w:color w:val="000000"/>
                <w:sz w:val="22"/>
              </w:rPr>
            </w:pPr>
            <w:r w:rsidRPr="00E87DCD">
              <w:rPr>
                <w:color w:val="000000"/>
                <w:sz w:val="22"/>
              </w:rPr>
              <w:t xml:space="preserve">$4,000 </w:t>
            </w:r>
          </w:p>
        </w:tc>
        <w:tc>
          <w:tcPr>
            <w:tcW w:w="705" w:type="pct"/>
            <w:tcBorders>
              <w:top w:val="nil"/>
              <w:left w:val="nil"/>
              <w:bottom w:val="single" w:sz="4" w:space="0" w:color="auto"/>
              <w:right w:val="single" w:sz="4" w:space="0" w:color="auto"/>
            </w:tcBorders>
            <w:shd w:val="clear" w:color="000000" w:fill="DBE5F1"/>
            <w:noWrap/>
            <w:vAlign w:val="center"/>
          </w:tcPr>
          <w:p w:rsidR="00E87DCD" w:rsidRPr="00E87DCD" w:rsidRDefault="00E87DCD">
            <w:pPr>
              <w:jc w:val="center"/>
              <w:rPr>
                <w:color w:val="000000"/>
                <w:sz w:val="22"/>
              </w:rPr>
            </w:pPr>
            <w:r w:rsidRPr="00E87DCD">
              <w:rPr>
                <w:color w:val="000000"/>
                <w:sz w:val="22"/>
              </w:rPr>
              <w:t xml:space="preserve">$196,000 </w:t>
            </w:r>
          </w:p>
        </w:tc>
        <w:tc>
          <w:tcPr>
            <w:tcW w:w="705" w:type="pct"/>
            <w:tcBorders>
              <w:top w:val="nil"/>
              <w:left w:val="nil"/>
              <w:bottom w:val="single" w:sz="4" w:space="0" w:color="auto"/>
              <w:right w:val="thinThickSmallGap" w:sz="24" w:space="0" w:color="auto"/>
            </w:tcBorders>
            <w:shd w:val="clear" w:color="000000" w:fill="DBE5F1"/>
            <w:noWrap/>
            <w:vAlign w:val="center"/>
          </w:tcPr>
          <w:p w:rsidR="00E87DCD" w:rsidRPr="00E87DCD" w:rsidRDefault="00E87DCD">
            <w:pPr>
              <w:jc w:val="center"/>
              <w:rPr>
                <w:color w:val="000000"/>
                <w:sz w:val="22"/>
              </w:rPr>
            </w:pPr>
            <w:r w:rsidRPr="00E87DCD">
              <w:rPr>
                <w:color w:val="000000"/>
                <w:sz w:val="22"/>
              </w:rPr>
              <w:t xml:space="preserve">$200,000 </w:t>
            </w:r>
          </w:p>
        </w:tc>
        <w:tc>
          <w:tcPr>
            <w:tcW w:w="796" w:type="pct"/>
            <w:tcBorders>
              <w:top w:val="single" w:sz="4" w:space="0" w:color="auto"/>
              <w:left w:val="thinThickSmallGap" w:sz="24" w:space="0" w:color="auto"/>
              <w:bottom w:val="single" w:sz="4" w:space="0" w:color="auto"/>
              <w:right w:val="single" w:sz="4" w:space="0" w:color="auto"/>
            </w:tcBorders>
            <w:shd w:val="clear" w:color="000000" w:fill="DBE5F1"/>
            <w:noWrap/>
            <w:vAlign w:val="center"/>
          </w:tcPr>
          <w:p w:rsidR="00E87DCD" w:rsidRPr="00E87DCD" w:rsidRDefault="00E87DCD">
            <w:pPr>
              <w:jc w:val="center"/>
              <w:rPr>
                <w:color w:val="000000"/>
                <w:sz w:val="22"/>
              </w:rPr>
            </w:pPr>
            <w:r w:rsidRPr="00E87DCD">
              <w:rPr>
                <w:color w:val="000000"/>
                <w:sz w:val="22"/>
              </w:rPr>
              <w:t xml:space="preserve">$112,000 </w:t>
            </w:r>
          </w:p>
        </w:tc>
      </w:tr>
      <w:tr w:rsidR="00E87DCD" w:rsidRPr="00E30B54" w:rsidTr="005E35A4">
        <w:trPr>
          <w:cantSplit/>
          <w:trHeight w:val="64"/>
        </w:trPr>
        <w:tc>
          <w:tcPr>
            <w:tcW w:w="2184" w:type="pct"/>
            <w:tcBorders>
              <w:top w:val="nil"/>
              <w:left w:val="single" w:sz="4" w:space="0" w:color="auto"/>
              <w:bottom w:val="single" w:sz="4" w:space="0" w:color="auto"/>
              <w:right w:val="single" w:sz="4" w:space="0" w:color="auto"/>
            </w:tcBorders>
            <w:shd w:val="clear" w:color="auto" w:fill="auto"/>
            <w:vAlign w:val="center"/>
          </w:tcPr>
          <w:p w:rsidR="00E87DCD" w:rsidRPr="005E1231" w:rsidRDefault="00E87DCD" w:rsidP="006429B8">
            <w:pPr>
              <w:rPr>
                <w:rFonts w:eastAsia="Times New Roman" w:cs="Arial"/>
                <w:b/>
                <w:bCs/>
                <w:color w:val="000000"/>
                <w:sz w:val="20"/>
                <w:szCs w:val="20"/>
              </w:rPr>
            </w:pPr>
            <w:r w:rsidRPr="005E1231">
              <w:rPr>
                <w:rFonts w:eastAsia="Times New Roman" w:cs="Arial"/>
                <w:b/>
                <w:bCs/>
                <w:color w:val="000000"/>
                <w:sz w:val="20"/>
                <w:szCs w:val="20"/>
              </w:rPr>
              <w:t>Subtotal New Work</w:t>
            </w:r>
          </w:p>
        </w:tc>
        <w:tc>
          <w:tcPr>
            <w:tcW w:w="610" w:type="pct"/>
            <w:tcBorders>
              <w:top w:val="nil"/>
              <w:left w:val="nil"/>
              <w:bottom w:val="single" w:sz="4" w:space="0" w:color="auto"/>
              <w:right w:val="single" w:sz="4" w:space="0" w:color="auto"/>
            </w:tcBorders>
            <w:shd w:val="clear" w:color="auto" w:fill="auto"/>
            <w:noWrap/>
            <w:vAlign w:val="center"/>
          </w:tcPr>
          <w:p w:rsidR="00E87DCD" w:rsidRPr="00E87DCD" w:rsidRDefault="00E87DCD">
            <w:pPr>
              <w:jc w:val="center"/>
              <w:rPr>
                <w:b/>
                <w:bCs/>
                <w:color w:val="000000"/>
                <w:sz w:val="22"/>
              </w:rPr>
            </w:pPr>
            <w:r w:rsidRPr="00E87DCD">
              <w:rPr>
                <w:b/>
                <w:bCs/>
                <w:color w:val="000000"/>
                <w:sz w:val="22"/>
              </w:rPr>
              <w:t xml:space="preserve">$482,000 </w:t>
            </w:r>
          </w:p>
        </w:tc>
        <w:tc>
          <w:tcPr>
            <w:tcW w:w="705" w:type="pct"/>
            <w:tcBorders>
              <w:top w:val="nil"/>
              <w:left w:val="nil"/>
              <w:bottom w:val="single" w:sz="4" w:space="0" w:color="auto"/>
              <w:right w:val="single" w:sz="4" w:space="0" w:color="auto"/>
            </w:tcBorders>
            <w:shd w:val="clear" w:color="auto" w:fill="auto"/>
            <w:noWrap/>
            <w:vAlign w:val="center"/>
          </w:tcPr>
          <w:p w:rsidR="00E87DCD" w:rsidRPr="00E87DCD" w:rsidRDefault="00E87DCD">
            <w:pPr>
              <w:jc w:val="center"/>
              <w:rPr>
                <w:b/>
                <w:bCs/>
                <w:color w:val="000000"/>
                <w:sz w:val="22"/>
              </w:rPr>
            </w:pPr>
            <w:r w:rsidRPr="00E87DCD">
              <w:rPr>
                <w:b/>
                <w:bCs/>
                <w:color w:val="000000"/>
                <w:sz w:val="22"/>
              </w:rPr>
              <w:t xml:space="preserve">$991,000 </w:t>
            </w:r>
          </w:p>
        </w:tc>
        <w:tc>
          <w:tcPr>
            <w:tcW w:w="705" w:type="pct"/>
            <w:tcBorders>
              <w:top w:val="nil"/>
              <w:left w:val="nil"/>
              <w:bottom w:val="single" w:sz="4" w:space="0" w:color="auto"/>
              <w:right w:val="thinThickSmallGap" w:sz="24" w:space="0" w:color="auto"/>
            </w:tcBorders>
            <w:shd w:val="clear" w:color="auto" w:fill="auto"/>
            <w:noWrap/>
            <w:vAlign w:val="center"/>
          </w:tcPr>
          <w:p w:rsidR="00E87DCD" w:rsidRPr="00E87DCD" w:rsidRDefault="00E87DCD">
            <w:pPr>
              <w:jc w:val="center"/>
              <w:rPr>
                <w:b/>
                <w:bCs/>
                <w:color w:val="000000"/>
                <w:sz w:val="22"/>
              </w:rPr>
            </w:pPr>
            <w:r w:rsidRPr="00E87DCD">
              <w:rPr>
                <w:b/>
                <w:bCs/>
                <w:color w:val="000000"/>
                <w:sz w:val="22"/>
              </w:rPr>
              <w:t xml:space="preserve">$1,473,000 </w:t>
            </w:r>
          </w:p>
        </w:tc>
        <w:tc>
          <w:tcPr>
            <w:tcW w:w="796" w:type="pct"/>
            <w:tcBorders>
              <w:top w:val="single" w:sz="4" w:space="0" w:color="auto"/>
              <w:left w:val="thinThickSmallGap" w:sz="24" w:space="0" w:color="auto"/>
              <w:bottom w:val="single" w:sz="4" w:space="0" w:color="auto"/>
              <w:right w:val="single" w:sz="4" w:space="0" w:color="auto"/>
            </w:tcBorders>
            <w:shd w:val="clear" w:color="auto" w:fill="auto"/>
            <w:noWrap/>
            <w:vAlign w:val="center"/>
          </w:tcPr>
          <w:p w:rsidR="00E87DCD" w:rsidRPr="00E87DCD" w:rsidRDefault="00E87DCD">
            <w:pPr>
              <w:jc w:val="center"/>
              <w:rPr>
                <w:b/>
                <w:bCs/>
                <w:color w:val="000000"/>
                <w:sz w:val="22"/>
              </w:rPr>
            </w:pPr>
            <w:r w:rsidRPr="00E87DCD">
              <w:rPr>
                <w:b/>
                <w:bCs/>
                <w:color w:val="000000"/>
                <w:sz w:val="22"/>
              </w:rPr>
              <w:t xml:space="preserve">$277,100 </w:t>
            </w:r>
          </w:p>
        </w:tc>
      </w:tr>
    </w:tbl>
    <w:p w:rsidR="00FC43A8" w:rsidRDefault="00FC43A8" w:rsidP="00FC4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p>
    <w:p w:rsidR="0059394C" w:rsidRPr="00FC43A8" w:rsidRDefault="00987EC5"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r w:rsidRPr="00FC43A8">
        <w:rPr>
          <w:rFonts w:cs="Times New Roman"/>
          <w:b/>
          <w:color w:val="000000"/>
          <w:u w:val="single"/>
        </w:rPr>
        <w:t>Existing Measure Review</w:t>
      </w:r>
      <w:r w:rsidR="00FC43A8" w:rsidRPr="00FC43A8">
        <w:rPr>
          <w:rFonts w:cs="Times New Roman"/>
          <w:b/>
          <w:color w:val="000000"/>
          <w:u w:val="single"/>
        </w:rPr>
        <w:t xml:space="preserve"> </w:t>
      </w:r>
      <w:r w:rsidR="00FC43A8">
        <w:rPr>
          <w:rFonts w:cs="Times New Roman"/>
          <w:b/>
          <w:color w:val="000000"/>
          <w:u w:val="single"/>
        </w:rPr>
        <w:t xml:space="preserve">&amp; </w:t>
      </w:r>
      <w:r w:rsidR="00FC43A8" w:rsidRPr="00FC43A8">
        <w:rPr>
          <w:rFonts w:cs="Times New Roman"/>
          <w:b/>
          <w:color w:val="000000"/>
          <w:u w:val="single"/>
        </w:rPr>
        <w:t>Standardization of Technical Analysis</w:t>
      </w:r>
      <w:r w:rsidR="00175201">
        <w:rPr>
          <w:rFonts w:cs="Times New Roman"/>
          <w:b/>
          <w:color w:val="000000"/>
          <w:u w:val="single"/>
        </w:rPr>
        <w:t xml:space="preserve"> ($</w:t>
      </w:r>
      <w:r w:rsidR="00E87DCD">
        <w:rPr>
          <w:rFonts w:cs="Times New Roman"/>
          <w:b/>
          <w:color w:val="000000"/>
          <w:u w:val="single"/>
        </w:rPr>
        <w:t>534</w:t>
      </w:r>
      <w:r w:rsidR="00E30B54">
        <w:rPr>
          <w:rFonts w:cs="Times New Roman"/>
          <w:b/>
          <w:color w:val="000000"/>
          <w:u w:val="single"/>
        </w:rPr>
        <w:t>,</w:t>
      </w:r>
      <w:r w:rsidR="00E87DCD">
        <w:rPr>
          <w:rFonts w:cs="Times New Roman"/>
          <w:b/>
          <w:color w:val="000000"/>
          <w:u w:val="single"/>
        </w:rPr>
        <w:t>5</w:t>
      </w:r>
      <w:r w:rsidR="00E30B54">
        <w:rPr>
          <w:rFonts w:cs="Times New Roman"/>
          <w:b/>
          <w:color w:val="000000"/>
          <w:u w:val="single"/>
        </w:rPr>
        <w:t>00</w:t>
      </w:r>
      <w:r w:rsidR="00FC43A8">
        <w:rPr>
          <w:rFonts w:cs="Times New Roman"/>
          <w:b/>
          <w:color w:val="000000"/>
          <w:u w:val="single"/>
        </w:rPr>
        <w:t>)</w:t>
      </w:r>
    </w:p>
    <w:p w:rsidR="0096697E"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In 2010, the RTF began </w:t>
      </w:r>
      <w:r w:rsidR="00804A9F">
        <w:rPr>
          <w:rFonts w:ascii="Times New Roman" w:hAnsi="Times New Roman" w:cs="Times New Roman"/>
          <w:color w:val="000000"/>
        </w:rPr>
        <w:t>the task of updating, standardizing</w:t>
      </w:r>
      <w:r>
        <w:rPr>
          <w:rFonts w:ascii="Times New Roman" w:hAnsi="Times New Roman" w:cs="Times New Roman"/>
          <w:color w:val="000000"/>
        </w:rPr>
        <w:t>, and strengthen</w:t>
      </w:r>
      <w:r w:rsidR="00804A9F">
        <w:rPr>
          <w:rFonts w:ascii="Times New Roman" w:hAnsi="Times New Roman" w:cs="Times New Roman"/>
          <w:color w:val="000000"/>
        </w:rPr>
        <w:t>ing</w:t>
      </w:r>
      <w:r>
        <w:rPr>
          <w:rFonts w:ascii="Times New Roman" w:hAnsi="Times New Roman" w:cs="Times New Roman"/>
          <w:color w:val="000000"/>
        </w:rPr>
        <w:t xml:space="preserve"> </w:t>
      </w:r>
      <w:r w:rsidR="00E71E15">
        <w:rPr>
          <w:rFonts w:ascii="Times New Roman" w:hAnsi="Times New Roman" w:cs="Times New Roman"/>
          <w:color w:val="000000"/>
        </w:rPr>
        <w:t xml:space="preserve">its </w:t>
      </w:r>
      <w:r>
        <w:rPr>
          <w:rFonts w:ascii="Times New Roman" w:hAnsi="Times New Roman" w:cs="Times New Roman"/>
          <w:color w:val="000000"/>
        </w:rPr>
        <w:t>technical analys</w:t>
      </w:r>
      <w:r w:rsidR="00E71E15">
        <w:rPr>
          <w:rFonts w:ascii="Times New Roman" w:hAnsi="Times New Roman" w:cs="Times New Roman"/>
          <w:color w:val="000000"/>
        </w:rPr>
        <w:t>e</w:t>
      </w:r>
      <w:r>
        <w:rPr>
          <w:rFonts w:ascii="Times New Roman" w:hAnsi="Times New Roman" w:cs="Times New Roman"/>
          <w:color w:val="000000"/>
        </w:rPr>
        <w:t xml:space="preserve">s and </w:t>
      </w:r>
      <w:r w:rsidR="00804A9F">
        <w:rPr>
          <w:rFonts w:ascii="Times New Roman" w:hAnsi="Times New Roman" w:cs="Times New Roman"/>
          <w:color w:val="000000"/>
        </w:rPr>
        <w:t xml:space="preserve">more thoroughly </w:t>
      </w:r>
      <w:r>
        <w:rPr>
          <w:rFonts w:ascii="Times New Roman" w:hAnsi="Times New Roman" w:cs="Times New Roman"/>
          <w:color w:val="000000"/>
        </w:rPr>
        <w:t>document</w:t>
      </w:r>
      <w:r w:rsidR="00804A9F">
        <w:rPr>
          <w:rFonts w:ascii="Times New Roman" w:hAnsi="Times New Roman" w:cs="Times New Roman"/>
          <w:color w:val="000000"/>
        </w:rPr>
        <w:t>ing</w:t>
      </w:r>
      <w:r>
        <w:rPr>
          <w:rFonts w:ascii="Times New Roman" w:hAnsi="Times New Roman" w:cs="Times New Roman"/>
          <w:color w:val="000000"/>
        </w:rPr>
        <w:t xml:space="preserve"> the input assumptions used for energy efficiency measures approved by the RTF</w:t>
      </w:r>
      <w:r w:rsidR="0096697E">
        <w:rPr>
          <w:rFonts w:ascii="Times New Roman" w:hAnsi="Times New Roman" w:cs="Times New Roman"/>
          <w:color w:val="000000"/>
        </w:rPr>
        <w:t xml:space="preserve">. </w:t>
      </w:r>
      <w:r w:rsidR="00804A9F">
        <w:rPr>
          <w:rFonts w:ascii="Times New Roman" w:hAnsi="Times New Roman" w:cs="Times New Roman"/>
          <w:color w:val="000000"/>
        </w:rPr>
        <w:t>This work included</w:t>
      </w:r>
      <w:r w:rsidR="00F80A55">
        <w:rPr>
          <w:rFonts w:ascii="Times New Roman" w:hAnsi="Times New Roman" w:cs="Times New Roman"/>
          <w:color w:val="000000"/>
        </w:rPr>
        <w:t xml:space="preserve"> the </w:t>
      </w:r>
      <w:r w:rsidR="00804A9F">
        <w:rPr>
          <w:rFonts w:ascii="Times New Roman" w:hAnsi="Times New Roman" w:cs="Times New Roman"/>
          <w:color w:val="000000"/>
        </w:rPr>
        <w:t xml:space="preserve">initial </w:t>
      </w:r>
      <w:r w:rsidR="00F80A55">
        <w:rPr>
          <w:rFonts w:ascii="Times New Roman" w:hAnsi="Times New Roman" w:cs="Times New Roman"/>
          <w:color w:val="000000"/>
        </w:rPr>
        <w:t xml:space="preserve">development of </w:t>
      </w:r>
      <w:r w:rsidR="00804A9F">
        <w:rPr>
          <w:rFonts w:ascii="Times New Roman" w:hAnsi="Times New Roman" w:cs="Times New Roman"/>
          <w:color w:val="000000"/>
        </w:rPr>
        <w:t xml:space="preserve">guidelines </w:t>
      </w:r>
      <w:r w:rsidR="00F80A55">
        <w:rPr>
          <w:rFonts w:ascii="Times New Roman" w:hAnsi="Times New Roman" w:cs="Times New Roman"/>
          <w:color w:val="000000"/>
        </w:rPr>
        <w:t>for estimating energy savings, measure costs, non-energy benefits, and measure life</w:t>
      </w:r>
      <w:r w:rsidR="0096697E">
        <w:rPr>
          <w:rFonts w:ascii="Times New Roman" w:hAnsi="Times New Roman" w:cs="Times New Roman"/>
          <w:color w:val="000000"/>
        </w:rPr>
        <w:t xml:space="preserve">. </w:t>
      </w:r>
      <w:r w:rsidR="00F80A55">
        <w:rPr>
          <w:rFonts w:ascii="Times New Roman" w:hAnsi="Times New Roman" w:cs="Times New Roman"/>
          <w:color w:val="000000"/>
        </w:rPr>
        <w:t xml:space="preserve">In 2011, the RTF began a systematic process </w:t>
      </w:r>
      <w:r w:rsidR="00804A9F">
        <w:rPr>
          <w:rFonts w:ascii="Times New Roman" w:hAnsi="Times New Roman" w:cs="Times New Roman"/>
          <w:color w:val="000000"/>
        </w:rPr>
        <w:t xml:space="preserve">of </w:t>
      </w:r>
      <w:r w:rsidR="00F80A55">
        <w:rPr>
          <w:rFonts w:ascii="Times New Roman" w:hAnsi="Times New Roman" w:cs="Times New Roman"/>
          <w:color w:val="000000"/>
        </w:rPr>
        <w:t>conform</w:t>
      </w:r>
      <w:r w:rsidR="00804A9F">
        <w:rPr>
          <w:rFonts w:ascii="Times New Roman" w:hAnsi="Times New Roman" w:cs="Times New Roman"/>
          <w:color w:val="000000"/>
        </w:rPr>
        <w:t>ance</w:t>
      </w:r>
      <w:r w:rsidR="00F80A55">
        <w:rPr>
          <w:rFonts w:ascii="Times New Roman" w:hAnsi="Times New Roman" w:cs="Times New Roman"/>
          <w:color w:val="000000"/>
        </w:rPr>
        <w:t xml:space="preserve"> </w:t>
      </w:r>
      <w:r w:rsidR="00804A9F">
        <w:rPr>
          <w:rFonts w:ascii="Times New Roman" w:hAnsi="Times New Roman" w:cs="Times New Roman"/>
          <w:color w:val="000000"/>
        </w:rPr>
        <w:t xml:space="preserve">for </w:t>
      </w:r>
      <w:r w:rsidR="00F80A55">
        <w:rPr>
          <w:rFonts w:ascii="Times New Roman" w:hAnsi="Times New Roman" w:cs="Times New Roman"/>
          <w:color w:val="000000"/>
        </w:rPr>
        <w:t xml:space="preserve">its library of measures to </w:t>
      </w:r>
      <w:r w:rsidR="00804A9F">
        <w:rPr>
          <w:rFonts w:ascii="Times New Roman" w:hAnsi="Times New Roman" w:cs="Times New Roman"/>
          <w:color w:val="000000"/>
        </w:rPr>
        <w:t xml:space="preserve">the </w:t>
      </w:r>
      <w:r w:rsidR="00F80A55">
        <w:rPr>
          <w:rFonts w:ascii="Times New Roman" w:hAnsi="Times New Roman" w:cs="Times New Roman"/>
          <w:color w:val="000000"/>
        </w:rPr>
        <w:t xml:space="preserve">recently developed </w:t>
      </w:r>
      <w:r w:rsidR="00E71E15" w:rsidRPr="00E30B54">
        <w:rPr>
          <w:rFonts w:ascii="Times New Roman" w:hAnsi="Times New Roman" w:cs="Times New Roman"/>
          <w:i/>
          <w:color w:val="000000"/>
        </w:rPr>
        <w:t>G</w:t>
      </w:r>
      <w:r w:rsidR="00F80A55" w:rsidRPr="00E30B54">
        <w:rPr>
          <w:rFonts w:ascii="Times New Roman" w:hAnsi="Times New Roman" w:cs="Times New Roman"/>
          <w:i/>
          <w:color w:val="000000"/>
        </w:rPr>
        <w:t>uidelines</w:t>
      </w:r>
      <w:r w:rsidR="0096697E">
        <w:rPr>
          <w:rFonts w:ascii="Times New Roman" w:hAnsi="Times New Roman" w:cs="Times New Roman"/>
          <w:color w:val="000000"/>
        </w:rPr>
        <w:t xml:space="preserve">. </w:t>
      </w:r>
      <w:r w:rsidR="00175201">
        <w:rPr>
          <w:rFonts w:ascii="Times New Roman" w:hAnsi="Times New Roman" w:cs="Times New Roman"/>
          <w:color w:val="000000"/>
        </w:rPr>
        <w:t xml:space="preserve">One major thrust of the </w:t>
      </w:r>
      <w:r w:rsidR="00687786">
        <w:rPr>
          <w:rFonts w:ascii="Times New Roman" w:hAnsi="Times New Roman" w:cs="Times New Roman"/>
          <w:color w:val="000000"/>
        </w:rPr>
        <w:t>2014</w:t>
      </w:r>
      <w:r w:rsidR="00175201">
        <w:rPr>
          <w:rFonts w:ascii="Times New Roman" w:hAnsi="Times New Roman" w:cs="Times New Roman"/>
          <w:color w:val="000000"/>
        </w:rPr>
        <w:t xml:space="preserve"> work plan for the RTF </w:t>
      </w:r>
      <w:r w:rsidR="00804A9F">
        <w:rPr>
          <w:rFonts w:ascii="Times New Roman" w:hAnsi="Times New Roman" w:cs="Times New Roman"/>
          <w:color w:val="000000"/>
        </w:rPr>
        <w:t>i</w:t>
      </w:r>
      <w:r w:rsidR="00175201">
        <w:rPr>
          <w:rFonts w:ascii="Times New Roman" w:hAnsi="Times New Roman" w:cs="Times New Roman"/>
          <w:color w:val="000000"/>
        </w:rPr>
        <w:t xml:space="preserve">s </w:t>
      </w:r>
      <w:r w:rsidR="00E30B54">
        <w:rPr>
          <w:rFonts w:ascii="Times New Roman" w:hAnsi="Times New Roman" w:cs="Times New Roman"/>
          <w:color w:val="000000"/>
        </w:rPr>
        <w:t xml:space="preserve">to </w:t>
      </w:r>
      <w:r w:rsidR="00804A9F">
        <w:rPr>
          <w:rFonts w:ascii="Times New Roman" w:hAnsi="Times New Roman" w:cs="Times New Roman"/>
          <w:color w:val="000000"/>
        </w:rPr>
        <w:t xml:space="preserve">finalize the </w:t>
      </w:r>
      <w:r w:rsidR="00175201">
        <w:rPr>
          <w:rFonts w:ascii="Times New Roman" w:hAnsi="Times New Roman" w:cs="Times New Roman"/>
          <w:color w:val="000000"/>
        </w:rPr>
        <w:t xml:space="preserve">update </w:t>
      </w:r>
      <w:r w:rsidR="00804A9F">
        <w:rPr>
          <w:rFonts w:ascii="Times New Roman" w:hAnsi="Times New Roman" w:cs="Times New Roman"/>
          <w:color w:val="000000"/>
        </w:rPr>
        <w:t xml:space="preserve">of </w:t>
      </w:r>
      <w:r w:rsidR="00175201">
        <w:rPr>
          <w:rFonts w:ascii="Times New Roman" w:hAnsi="Times New Roman" w:cs="Times New Roman"/>
          <w:color w:val="000000"/>
        </w:rPr>
        <w:t xml:space="preserve">existing measures to bring them into compliance with these </w:t>
      </w:r>
      <w:r w:rsidR="00E30B54">
        <w:rPr>
          <w:rFonts w:ascii="Times New Roman" w:hAnsi="Times New Roman" w:cs="Times New Roman"/>
          <w:color w:val="000000"/>
        </w:rPr>
        <w:t xml:space="preserve">operative </w:t>
      </w:r>
      <w:r w:rsidR="00175201" w:rsidRPr="00E30B54">
        <w:rPr>
          <w:rFonts w:ascii="Times New Roman" w:hAnsi="Times New Roman" w:cs="Times New Roman"/>
          <w:i/>
          <w:color w:val="000000"/>
        </w:rPr>
        <w:t>Guidelines</w:t>
      </w:r>
      <w:r w:rsidR="0096697E">
        <w:rPr>
          <w:rFonts w:ascii="Times New Roman" w:hAnsi="Times New Roman" w:cs="Times New Roman"/>
          <w:color w:val="000000"/>
        </w:rPr>
        <w:t>.</w:t>
      </w:r>
    </w:p>
    <w:p w:rsidR="00987EC5" w:rsidRDefault="00987EC5"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C43A8"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RTF will continue updating </w:t>
      </w:r>
      <w:r w:rsidR="00755429">
        <w:rPr>
          <w:rFonts w:ascii="Times New Roman" w:hAnsi="Times New Roman" w:cs="Times New Roman"/>
          <w:color w:val="000000"/>
        </w:rPr>
        <w:t>and standardiz</w:t>
      </w:r>
      <w:r w:rsidR="00E71E15">
        <w:rPr>
          <w:rFonts w:ascii="Times New Roman" w:hAnsi="Times New Roman" w:cs="Times New Roman"/>
          <w:color w:val="000000"/>
        </w:rPr>
        <w:t>ing</w:t>
      </w:r>
      <w:r w:rsidR="00175201">
        <w:rPr>
          <w:rFonts w:ascii="Times New Roman" w:hAnsi="Times New Roman" w:cs="Times New Roman"/>
          <w:color w:val="000000"/>
        </w:rPr>
        <w:t xml:space="preserve"> work in </w:t>
      </w:r>
      <w:r w:rsidR="00687786">
        <w:rPr>
          <w:rFonts w:ascii="Times New Roman" w:hAnsi="Times New Roman" w:cs="Times New Roman"/>
          <w:color w:val="000000"/>
        </w:rPr>
        <w:t>2014</w:t>
      </w:r>
      <w:r>
        <w:rPr>
          <w:rFonts w:ascii="Times New Roman" w:hAnsi="Times New Roman" w:cs="Times New Roman"/>
          <w:color w:val="000000"/>
        </w:rPr>
        <w:t>, expanding the number of measures reviewed</w:t>
      </w:r>
      <w:r w:rsidR="00E55E95">
        <w:rPr>
          <w:rFonts w:ascii="Times New Roman" w:hAnsi="Times New Roman" w:cs="Times New Roman"/>
          <w:color w:val="000000"/>
        </w:rPr>
        <w:t xml:space="preserve"> for conformance to </w:t>
      </w:r>
      <w:r w:rsidR="00175201">
        <w:rPr>
          <w:rFonts w:ascii="Times New Roman" w:hAnsi="Times New Roman" w:cs="Times New Roman"/>
          <w:color w:val="000000"/>
        </w:rPr>
        <w:t xml:space="preserve">the </w:t>
      </w:r>
      <w:r w:rsidR="00175201" w:rsidRPr="00E30B54">
        <w:rPr>
          <w:rFonts w:ascii="Times New Roman" w:hAnsi="Times New Roman" w:cs="Times New Roman"/>
          <w:i/>
          <w:color w:val="000000"/>
        </w:rPr>
        <w:t>G</w:t>
      </w:r>
      <w:r w:rsidR="00881DDA" w:rsidRPr="00E30B54">
        <w:rPr>
          <w:rFonts w:ascii="Times New Roman" w:hAnsi="Times New Roman" w:cs="Times New Roman"/>
          <w:i/>
          <w:color w:val="000000"/>
        </w:rPr>
        <w:t>uidelines</w:t>
      </w:r>
      <w:r w:rsidR="0096697E">
        <w:rPr>
          <w:rFonts w:ascii="Times New Roman" w:hAnsi="Times New Roman" w:cs="Times New Roman"/>
          <w:color w:val="000000"/>
        </w:rPr>
        <w:t xml:space="preserve">. </w:t>
      </w:r>
      <w:r>
        <w:rPr>
          <w:rFonts w:ascii="Times New Roman" w:hAnsi="Times New Roman" w:cs="Times New Roman"/>
          <w:color w:val="000000"/>
        </w:rPr>
        <w:t xml:space="preserve">The goal is to </w:t>
      </w:r>
      <w:r w:rsidR="00E55E95">
        <w:rPr>
          <w:rFonts w:ascii="Times New Roman" w:hAnsi="Times New Roman" w:cs="Times New Roman"/>
          <w:color w:val="000000"/>
        </w:rPr>
        <w:t>implement</w:t>
      </w:r>
      <w:r>
        <w:rPr>
          <w:rFonts w:ascii="Times New Roman" w:hAnsi="Times New Roman" w:cs="Times New Roman"/>
          <w:color w:val="000000"/>
        </w:rPr>
        <w:t xml:space="preserve"> </w:t>
      </w:r>
      <w:r w:rsidR="00F80A55">
        <w:rPr>
          <w:rFonts w:ascii="Times New Roman" w:hAnsi="Times New Roman" w:cs="Times New Roman"/>
          <w:color w:val="000000"/>
        </w:rPr>
        <w:t xml:space="preserve">a </w:t>
      </w:r>
      <w:r>
        <w:rPr>
          <w:rFonts w:ascii="Times New Roman" w:hAnsi="Times New Roman" w:cs="Times New Roman"/>
          <w:color w:val="000000"/>
        </w:rPr>
        <w:t>systematic process</w:t>
      </w:r>
      <w:r w:rsidR="00F80A55">
        <w:rPr>
          <w:rFonts w:ascii="Times New Roman" w:hAnsi="Times New Roman" w:cs="Times New Roman"/>
          <w:color w:val="000000"/>
        </w:rPr>
        <w:t>,</w:t>
      </w:r>
      <w:r>
        <w:rPr>
          <w:rFonts w:ascii="Times New Roman" w:hAnsi="Times New Roman" w:cs="Times New Roman"/>
          <w:color w:val="000000"/>
        </w:rPr>
        <w:t xml:space="preserve"> </w:t>
      </w:r>
      <w:r w:rsidR="00F80A55">
        <w:rPr>
          <w:rFonts w:ascii="Times New Roman" w:hAnsi="Times New Roman" w:cs="Times New Roman"/>
          <w:color w:val="000000"/>
        </w:rPr>
        <w:t>using</w:t>
      </w:r>
      <w:r>
        <w:rPr>
          <w:rFonts w:ascii="Times New Roman" w:hAnsi="Times New Roman" w:cs="Times New Roman"/>
          <w:color w:val="000000"/>
        </w:rPr>
        <w:t xml:space="preserve"> </w:t>
      </w:r>
      <w:r w:rsidR="00F80A55">
        <w:rPr>
          <w:rFonts w:ascii="Times New Roman" w:hAnsi="Times New Roman" w:cs="Times New Roman"/>
          <w:color w:val="000000"/>
        </w:rPr>
        <w:t>identified</w:t>
      </w:r>
      <w:r>
        <w:rPr>
          <w:rFonts w:ascii="Times New Roman" w:hAnsi="Times New Roman" w:cs="Times New Roman"/>
          <w:color w:val="000000"/>
        </w:rPr>
        <w:t xml:space="preserve"> standards of quality</w:t>
      </w:r>
      <w:r w:rsidR="00881DDA">
        <w:rPr>
          <w:rFonts w:ascii="Times New Roman" w:hAnsi="Times New Roman" w:cs="Times New Roman"/>
          <w:color w:val="000000"/>
        </w:rPr>
        <w:t>,</w:t>
      </w:r>
      <w:r>
        <w:rPr>
          <w:rFonts w:ascii="Times New Roman" w:hAnsi="Times New Roman" w:cs="Times New Roman"/>
          <w:color w:val="000000"/>
        </w:rPr>
        <w:t xml:space="preserve"> for all RTF technical analysis</w:t>
      </w:r>
      <w:r w:rsidR="0096697E">
        <w:rPr>
          <w:rFonts w:ascii="Times New Roman" w:hAnsi="Times New Roman" w:cs="Times New Roman"/>
          <w:color w:val="000000"/>
        </w:rPr>
        <w:t xml:space="preserve">. </w:t>
      </w:r>
      <w:r w:rsidR="00AC6BF7" w:rsidRPr="00AC6BF7">
        <w:rPr>
          <w:rFonts w:ascii="Times New Roman" w:hAnsi="Times New Roman" w:cs="Times New Roman"/>
          <w:color w:val="000000"/>
        </w:rPr>
        <w:t xml:space="preserve">The RTF intends to cycle through its library of existing measures by the end of </w:t>
      </w:r>
      <w:r w:rsidR="00804A9F">
        <w:rPr>
          <w:rFonts w:ascii="Times New Roman" w:hAnsi="Times New Roman" w:cs="Times New Roman"/>
          <w:color w:val="000000"/>
        </w:rPr>
        <w:t>2014</w:t>
      </w:r>
      <w:r w:rsidR="00AC6BF7" w:rsidRPr="00AC6BF7">
        <w:rPr>
          <w:rFonts w:ascii="Times New Roman" w:hAnsi="Times New Roman" w:cs="Times New Roman"/>
          <w:color w:val="000000"/>
        </w:rPr>
        <w:t xml:space="preserve"> and bring them all up to the quality standards specified in the </w:t>
      </w:r>
      <w:r w:rsidR="00AC6BF7" w:rsidRPr="00E30B54">
        <w:rPr>
          <w:rFonts w:ascii="Times New Roman" w:hAnsi="Times New Roman" w:cs="Times New Roman"/>
          <w:i/>
          <w:color w:val="000000"/>
        </w:rPr>
        <w:t>Guidelines</w:t>
      </w:r>
      <w:r w:rsidR="0096697E">
        <w:rPr>
          <w:rFonts w:ascii="Times New Roman" w:hAnsi="Times New Roman" w:cs="Times New Roman"/>
          <w:color w:val="000000"/>
        </w:rPr>
        <w:t xml:space="preserve">. </w:t>
      </w:r>
      <w:r w:rsidR="00AC6BF7" w:rsidRPr="00AC6BF7">
        <w:rPr>
          <w:rFonts w:ascii="Times New Roman" w:hAnsi="Times New Roman" w:cs="Times New Roman"/>
          <w:color w:val="000000"/>
        </w:rPr>
        <w:t xml:space="preserve">In addition, </w:t>
      </w:r>
      <w:r w:rsidR="00804A9F">
        <w:rPr>
          <w:rFonts w:ascii="Times New Roman" w:hAnsi="Times New Roman" w:cs="Times New Roman"/>
          <w:color w:val="000000"/>
        </w:rPr>
        <w:t xml:space="preserve">measures that have previously been </w:t>
      </w:r>
      <w:r w:rsidR="00AC6BF7" w:rsidRPr="00AC6BF7">
        <w:rPr>
          <w:rFonts w:ascii="Times New Roman" w:hAnsi="Times New Roman" w:cs="Times New Roman"/>
          <w:color w:val="000000"/>
        </w:rPr>
        <w:t xml:space="preserve">RTF-approved </w:t>
      </w:r>
      <w:r w:rsidR="00804A9F">
        <w:rPr>
          <w:rFonts w:ascii="Times New Roman" w:hAnsi="Times New Roman" w:cs="Times New Roman"/>
          <w:color w:val="000000"/>
        </w:rPr>
        <w:t xml:space="preserve">for meeting the quality and reliability requirements of the </w:t>
      </w:r>
      <w:r w:rsidR="00804A9F" w:rsidRPr="00804A9F">
        <w:rPr>
          <w:rFonts w:ascii="Times New Roman" w:hAnsi="Times New Roman" w:cs="Times New Roman"/>
          <w:i/>
          <w:color w:val="000000"/>
        </w:rPr>
        <w:t>Guidelines</w:t>
      </w:r>
      <w:r w:rsidR="00804A9F">
        <w:rPr>
          <w:rFonts w:ascii="Times New Roman" w:hAnsi="Times New Roman" w:cs="Times New Roman"/>
          <w:color w:val="000000"/>
        </w:rPr>
        <w:t xml:space="preserve"> </w:t>
      </w:r>
      <w:r w:rsidR="00AC6BF7" w:rsidRPr="00AC6BF7">
        <w:rPr>
          <w:rFonts w:ascii="Times New Roman" w:hAnsi="Times New Roman" w:cs="Times New Roman"/>
          <w:color w:val="000000"/>
        </w:rPr>
        <w:t xml:space="preserve">need to be revisited every </w:t>
      </w:r>
      <w:r w:rsidR="00804A9F">
        <w:rPr>
          <w:rFonts w:ascii="Times New Roman" w:hAnsi="Times New Roman" w:cs="Times New Roman"/>
          <w:color w:val="000000"/>
        </w:rPr>
        <w:t xml:space="preserve">three </w:t>
      </w:r>
      <w:r w:rsidR="00AC6BF7" w:rsidRPr="00AC6BF7">
        <w:rPr>
          <w:rFonts w:ascii="Times New Roman" w:hAnsi="Times New Roman" w:cs="Times New Roman"/>
          <w:color w:val="000000"/>
        </w:rPr>
        <w:t xml:space="preserve">to </w:t>
      </w:r>
      <w:r w:rsidR="00804A9F">
        <w:rPr>
          <w:rFonts w:ascii="Times New Roman" w:hAnsi="Times New Roman" w:cs="Times New Roman"/>
          <w:color w:val="000000"/>
        </w:rPr>
        <w:t xml:space="preserve">five </w:t>
      </w:r>
      <w:r w:rsidR="00AC6BF7" w:rsidRPr="00AC6BF7">
        <w:rPr>
          <w:rFonts w:ascii="Times New Roman" w:hAnsi="Times New Roman" w:cs="Times New Roman"/>
          <w:color w:val="000000"/>
        </w:rPr>
        <w:t>years to update measure viability, savings and cost estimates, baseline assumptions, li</w:t>
      </w:r>
      <w:r w:rsidR="00881DDA">
        <w:rPr>
          <w:rFonts w:ascii="Times New Roman" w:hAnsi="Times New Roman" w:cs="Times New Roman"/>
          <w:color w:val="000000"/>
        </w:rPr>
        <w:t xml:space="preserve">fetime, and other key factors, which is included as part of the </w:t>
      </w:r>
      <w:r w:rsidR="00687786">
        <w:rPr>
          <w:rFonts w:ascii="Times New Roman" w:hAnsi="Times New Roman" w:cs="Times New Roman"/>
          <w:color w:val="000000"/>
        </w:rPr>
        <w:t>2014</w:t>
      </w:r>
      <w:r w:rsidR="00881DDA">
        <w:rPr>
          <w:rFonts w:ascii="Times New Roman" w:hAnsi="Times New Roman" w:cs="Times New Roman"/>
          <w:color w:val="000000"/>
        </w:rPr>
        <w:t xml:space="preserve"> work plan.</w:t>
      </w:r>
    </w:p>
    <w:p w:rsidR="00FC43A8" w:rsidRDefault="00FC43A8"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47958" w:rsidRDefault="00881DDA"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budget estimate for </w:t>
      </w:r>
      <w:r w:rsidR="00687786">
        <w:rPr>
          <w:rFonts w:ascii="Times New Roman" w:hAnsi="Times New Roman" w:cs="Times New Roman"/>
          <w:color w:val="000000"/>
        </w:rPr>
        <w:t>2014</w:t>
      </w:r>
      <w:r>
        <w:rPr>
          <w:rFonts w:ascii="Times New Roman" w:hAnsi="Times New Roman" w:cs="Times New Roman"/>
          <w:color w:val="000000"/>
        </w:rPr>
        <w:t>-</w:t>
      </w:r>
      <w:r w:rsidR="00687786">
        <w:rPr>
          <w:rFonts w:ascii="Times New Roman" w:hAnsi="Times New Roman" w:cs="Times New Roman"/>
          <w:color w:val="000000"/>
        </w:rPr>
        <w:t>2016</w:t>
      </w:r>
      <w:r w:rsidR="00AC6BF7" w:rsidRPr="00AC6BF7">
        <w:rPr>
          <w:rFonts w:ascii="Times New Roman" w:hAnsi="Times New Roman" w:cs="Times New Roman"/>
          <w:color w:val="000000"/>
        </w:rPr>
        <w:t xml:space="preserve"> includes updating about </w:t>
      </w:r>
      <w:r>
        <w:rPr>
          <w:rFonts w:ascii="Times New Roman" w:hAnsi="Times New Roman" w:cs="Times New Roman"/>
          <w:color w:val="000000"/>
        </w:rPr>
        <w:t>4</w:t>
      </w:r>
      <w:r w:rsidR="00AC6BF7" w:rsidRPr="00AC6BF7">
        <w:rPr>
          <w:rFonts w:ascii="Times New Roman" w:hAnsi="Times New Roman" w:cs="Times New Roman"/>
          <w:color w:val="000000"/>
        </w:rPr>
        <w:t>0 UES measures.</w:t>
      </w:r>
      <w:r w:rsidR="0029762F">
        <w:rPr>
          <w:rFonts w:ascii="Times New Roman" w:hAnsi="Times New Roman" w:cs="Times New Roman"/>
          <w:color w:val="000000"/>
        </w:rPr>
        <w:t xml:space="preserve"> It is anticipated that s</w:t>
      </w:r>
      <w:r w:rsidR="001D4012">
        <w:rPr>
          <w:rFonts w:ascii="Times New Roman" w:hAnsi="Times New Roman" w:cs="Times New Roman"/>
          <w:color w:val="000000"/>
        </w:rPr>
        <w:t>ome of these measures will be reclassified as either small savers or standard/provisional protocols</w:t>
      </w:r>
      <w:r w:rsidR="0029762F">
        <w:rPr>
          <w:rFonts w:ascii="Times New Roman" w:hAnsi="Times New Roman" w:cs="Times New Roman"/>
          <w:color w:val="000000"/>
        </w:rPr>
        <w:t xml:space="preserve"> because they do not satisfy the </w:t>
      </w:r>
      <w:r>
        <w:rPr>
          <w:rFonts w:ascii="Times New Roman" w:hAnsi="Times New Roman" w:cs="Times New Roman"/>
          <w:color w:val="000000"/>
        </w:rPr>
        <w:t xml:space="preserve">requirements of the </w:t>
      </w:r>
      <w:r w:rsidR="0029762F" w:rsidRPr="00E30B54">
        <w:rPr>
          <w:rFonts w:ascii="Times New Roman" w:hAnsi="Times New Roman" w:cs="Times New Roman"/>
          <w:i/>
          <w:color w:val="000000"/>
        </w:rPr>
        <w:t>Guidelines</w:t>
      </w:r>
      <w:r w:rsidR="001D4012">
        <w:rPr>
          <w:rFonts w:ascii="Times New Roman" w:hAnsi="Times New Roman" w:cs="Times New Roman"/>
          <w:color w:val="000000"/>
        </w:rPr>
        <w:t>.</w:t>
      </w:r>
      <w:r w:rsidR="00987EC5">
        <w:rPr>
          <w:rFonts w:ascii="Times New Roman" w:hAnsi="Times New Roman" w:cs="Times New Roman"/>
          <w:color w:val="000000"/>
        </w:rPr>
        <w:t xml:space="preserve"> </w:t>
      </w:r>
      <w:r w:rsidR="00E30B54">
        <w:rPr>
          <w:rFonts w:ascii="Times New Roman" w:hAnsi="Times New Roman" w:cs="Times New Roman"/>
          <w:color w:val="000000"/>
        </w:rPr>
        <w:t xml:space="preserve">Additionally, several of these measures will require more research to ensure the quality and reliability of the savings estimates are on par with expectations of the </w:t>
      </w:r>
      <w:r w:rsidR="00E30B54">
        <w:rPr>
          <w:rFonts w:ascii="Times New Roman" w:hAnsi="Times New Roman" w:cs="Times New Roman"/>
          <w:i/>
          <w:color w:val="000000"/>
        </w:rPr>
        <w:t>Guidelines.</w:t>
      </w:r>
      <w:r w:rsidR="00987EC5">
        <w:rPr>
          <w:rFonts w:ascii="Times New Roman" w:hAnsi="Times New Roman" w:cs="Times New Roman"/>
          <w:color w:val="000000"/>
        </w:rPr>
        <w:t xml:space="preserve"> </w:t>
      </w:r>
      <w:r w:rsidR="00E30B54">
        <w:rPr>
          <w:rFonts w:ascii="Times New Roman" w:hAnsi="Times New Roman" w:cs="Times New Roman"/>
          <w:color w:val="000000"/>
        </w:rPr>
        <w:t xml:space="preserve">The </w:t>
      </w:r>
      <w:r w:rsidR="00E71E15">
        <w:rPr>
          <w:rFonts w:ascii="Times New Roman" w:hAnsi="Times New Roman" w:cs="Times New Roman"/>
          <w:color w:val="000000"/>
        </w:rPr>
        <w:t xml:space="preserve">RTF will </w:t>
      </w:r>
      <w:r w:rsidR="002F0C32">
        <w:rPr>
          <w:rFonts w:ascii="Times New Roman" w:hAnsi="Times New Roman" w:cs="Times New Roman"/>
          <w:color w:val="000000"/>
        </w:rPr>
        <w:t>prioritize</w:t>
      </w:r>
      <w:r w:rsidR="00E71E15">
        <w:rPr>
          <w:rFonts w:ascii="Times New Roman" w:hAnsi="Times New Roman" w:cs="Times New Roman"/>
          <w:color w:val="000000"/>
        </w:rPr>
        <w:t xml:space="preserve"> updates based on </w:t>
      </w:r>
      <w:r w:rsidR="002F0C32">
        <w:rPr>
          <w:rFonts w:ascii="Times New Roman" w:hAnsi="Times New Roman" w:cs="Times New Roman"/>
          <w:color w:val="000000"/>
        </w:rPr>
        <w:t xml:space="preserve">factors such as </w:t>
      </w:r>
      <w:r w:rsidR="00237473">
        <w:rPr>
          <w:rFonts w:ascii="Times New Roman" w:hAnsi="Times New Roman" w:cs="Times New Roman"/>
          <w:color w:val="000000"/>
        </w:rPr>
        <w:t xml:space="preserve">past and expected future </w:t>
      </w:r>
      <w:r w:rsidR="002F0C32">
        <w:rPr>
          <w:rFonts w:ascii="Times New Roman" w:hAnsi="Times New Roman" w:cs="Times New Roman"/>
          <w:color w:val="000000"/>
        </w:rPr>
        <w:t>frequency of use, annual savings</w:t>
      </w:r>
      <w:r w:rsidR="00237473">
        <w:rPr>
          <w:rFonts w:ascii="Times New Roman" w:hAnsi="Times New Roman" w:cs="Times New Roman"/>
          <w:color w:val="000000"/>
        </w:rPr>
        <w:t xml:space="preserve"> rate</w:t>
      </w:r>
      <w:r w:rsidR="002F0C32">
        <w:rPr>
          <w:rFonts w:ascii="Times New Roman" w:hAnsi="Times New Roman" w:cs="Times New Roman"/>
          <w:color w:val="000000"/>
        </w:rPr>
        <w:t xml:space="preserve">, time since last update, availability </w:t>
      </w:r>
      <w:r w:rsidR="00237473">
        <w:rPr>
          <w:rFonts w:ascii="Times New Roman" w:hAnsi="Times New Roman" w:cs="Times New Roman"/>
          <w:color w:val="000000"/>
        </w:rPr>
        <w:t xml:space="preserve">and quality </w:t>
      </w:r>
      <w:r w:rsidR="002F0C32">
        <w:rPr>
          <w:rFonts w:ascii="Times New Roman" w:hAnsi="Times New Roman" w:cs="Times New Roman"/>
          <w:color w:val="000000"/>
        </w:rPr>
        <w:t xml:space="preserve">of source data, </w:t>
      </w:r>
      <w:r w:rsidR="00237473">
        <w:rPr>
          <w:rFonts w:ascii="Times New Roman" w:hAnsi="Times New Roman" w:cs="Times New Roman"/>
          <w:color w:val="000000"/>
        </w:rPr>
        <w:t>and changes in baseline data</w:t>
      </w:r>
      <w:r w:rsidR="0096697E">
        <w:rPr>
          <w:rFonts w:ascii="Times New Roman" w:hAnsi="Times New Roman" w:cs="Times New Roman"/>
          <w:color w:val="000000"/>
        </w:rPr>
        <w:t xml:space="preserve">. </w:t>
      </w:r>
      <w:r w:rsidR="005F6094">
        <w:rPr>
          <w:rFonts w:ascii="Times New Roman" w:hAnsi="Times New Roman" w:cs="Times New Roman"/>
          <w:color w:val="000000"/>
        </w:rPr>
        <w:t>Given the large number of RTF-approved measures, this will continue to be an ongoing a</w:t>
      </w:r>
      <w:r w:rsidR="00755429">
        <w:rPr>
          <w:rFonts w:ascii="Times New Roman" w:hAnsi="Times New Roman" w:cs="Times New Roman"/>
          <w:color w:val="000000"/>
        </w:rPr>
        <w:t>ctivity</w:t>
      </w:r>
      <w:r w:rsidR="00E71E15" w:rsidRPr="00E71E15">
        <w:rPr>
          <w:rFonts w:ascii="Times New Roman" w:hAnsi="Times New Roman" w:cs="Times New Roman"/>
          <w:color w:val="000000"/>
        </w:rPr>
        <w:t xml:space="preserve"> </w:t>
      </w:r>
      <w:r w:rsidR="00804A9F">
        <w:rPr>
          <w:rFonts w:ascii="Times New Roman" w:hAnsi="Times New Roman" w:cs="Times New Roman"/>
          <w:color w:val="000000"/>
        </w:rPr>
        <w:t>with a review of an estimated 15</w:t>
      </w:r>
      <w:r w:rsidR="00E71E15">
        <w:rPr>
          <w:rFonts w:ascii="Times New Roman" w:hAnsi="Times New Roman" w:cs="Times New Roman"/>
          <w:color w:val="000000"/>
        </w:rPr>
        <w:t xml:space="preserve"> measures per year for the next three years</w:t>
      </w:r>
      <w:r w:rsidR="0096697E">
        <w:rPr>
          <w:rFonts w:ascii="Times New Roman" w:hAnsi="Times New Roman" w:cs="Times New Roman"/>
          <w:color w:val="000000"/>
        </w:rPr>
        <w:t xml:space="preserve">. </w:t>
      </w:r>
      <w:r w:rsidR="00804A9F">
        <w:rPr>
          <w:rFonts w:ascii="Times New Roman" w:hAnsi="Times New Roman" w:cs="Times New Roman"/>
          <w:color w:val="000000"/>
        </w:rPr>
        <w:t>Almost</w:t>
      </w:r>
      <w:r w:rsidR="00BF0CA1">
        <w:rPr>
          <w:rFonts w:ascii="Times New Roman" w:hAnsi="Times New Roman" w:cs="Times New Roman"/>
          <w:color w:val="000000"/>
        </w:rPr>
        <w:t xml:space="preserve"> </w:t>
      </w:r>
      <w:r w:rsidR="00E173C5" w:rsidRPr="00E173C5">
        <w:rPr>
          <w:rFonts w:ascii="Times New Roman" w:hAnsi="Times New Roman" w:cs="Times New Roman"/>
          <w:color w:val="000000"/>
        </w:rPr>
        <w:t>one-third</w:t>
      </w:r>
      <w:r w:rsidR="0059394C">
        <w:rPr>
          <w:rFonts w:ascii="Times New Roman" w:hAnsi="Times New Roman" w:cs="Times New Roman"/>
          <w:color w:val="000000"/>
        </w:rPr>
        <w:t xml:space="preserve"> </w:t>
      </w:r>
      <w:r w:rsidR="00B47958">
        <w:rPr>
          <w:rFonts w:ascii="Times New Roman" w:hAnsi="Times New Roman" w:cs="Times New Roman"/>
          <w:color w:val="000000"/>
        </w:rPr>
        <w:t>of the</w:t>
      </w:r>
      <w:r>
        <w:rPr>
          <w:rFonts w:ascii="Times New Roman" w:hAnsi="Times New Roman" w:cs="Times New Roman"/>
          <w:color w:val="000000"/>
        </w:rPr>
        <w:t xml:space="preserve"> </w:t>
      </w:r>
      <w:r w:rsidR="00687786">
        <w:rPr>
          <w:rFonts w:ascii="Times New Roman" w:hAnsi="Times New Roman" w:cs="Times New Roman"/>
          <w:color w:val="000000"/>
        </w:rPr>
        <w:t>2014</w:t>
      </w:r>
      <w:r w:rsidR="005F6094">
        <w:rPr>
          <w:rFonts w:ascii="Times New Roman" w:hAnsi="Times New Roman" w:cs="Times New Roman"/>
          <w:color w:val="000000"/>
        </w:rPr>
        <w:t xml:space="preserve"> budget is </w:t>
      </w:r>
      <w:r w:rsidR="00BF0CA1">
        <w:rPr>
          <w:rFonts w:ascii="Times New Roman" w:hAnsi="Times New Roman" w:cs="Times New Roman"/>
          <w:color w:val="000000"/>
        </w:rPr>
        <w:t xml:space="preserve">allocated </w:t>
      </w:r>
      <w:r w:rsidR="005F6094">
        <w:rPr>
          <w:rFonts w:ascii="Times New Roman" w:hAnsi="Times New Roman" w:cs="Times New Roman"/>
          <w:color w:val="000000"/>
        </w:rPr>
        <w:t xml:space="preserve">for </w:t>
      </w:r>
      <w:r w:rsidR="00B47958">
        <w:rPr>
          <w:rFonts w:ascii="Times New Roman" w:hAnsi="Times New Roman" w:cs="Times New Roman"/>
          <w:color w:val="000000"/>
        </w:rPr>
        <w:t xml:space="preserve">completion of </w:t>
      </w:r>
      <w:r w:rsidR="00C21B5A">
        <w:rPr>
          <w:rFonts w:ascii="Times New Roman" w:hAnsi="Times New Roman" w:cs="Times New Roman"/>
          <w:color w:val="000000"/>
        </w:rPr>
        <w:t xml:space="preserve">this </w:t>
      </w:r>
      <w:r>
        <w:rPr>
          <w:rFonts w:ascii="Times New Roman" w:hAnsi="Times New Roman" w:cs="Times New Roman"/>
          <w:color w:val="000000"/>
        </w:rPr>
        <w:t xml:space="preserve">update </w:t>
      </w:r>
      <w:r w:rsidR="00B47958">
        <w:rPr>
          <w:rFonts w:ascii="Times New Roman" w:hAnsi="Times New Roman" w:cs="Times New Roman"/>
          <w:color w:val="000000"/>
        </w:rPr>
        <w:t>activity</w:t>
      </w:r>
      <w:r w:rsidR="005F6094">
        <w:rPr>
          <w:rFonts w:ascii="Times New Roman" w:hAnsi="Times New Roman" w:cs="Times New Roman"/>
          <w:color w:val="000000"/>
        </w:rPr>
        <w:t>.</w:t>
      </w:r>
    </w:p>
    <w:p w:rsidR="00987EC5" w:rsidRDefault="00987EC5"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Pr="00FC43A8" w:rsidRDefault="00934867"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r>
        <w:rPr>
          <w:rFonts w:cs="Times New Roman"/>
          <w:b/>
          <w:color w:val="000000"/>
          <w:u w:val="single"/>
        </w:rPr>
        <w:br w:type="page"/>
      </w:r>
      <w:r w:rsidR="0059394C" w:rsidRPr="00FC43A8">
        <w:rPr>
          <w:rFonts w:cs="Times New Roman"/>
          <w:b/>
          <w:color w:val="000000"/>
          <w:u w:val="single"/>
        </w:rPr>
        <w:t>New Measure Development &amp; Review of Unsolicited Proposals</w:t>
      </w:r>
      <w:r w:rsidR="00881DDA">
        <w:rPr>
          <w:rFonts w:cs="Times New Roman"/>
          <w:b/>
          <w:color w:val="000000"/>
          <w:u w:val="single"/>
        </w:rPr>
        <w:t xml:space="preserve"> ($</w:t>
      </w:r>
      <w:r w:rsidR="001439E0">
        <w:rPr>
          <w:rFonts w:cs="Times New Roman"/>
          <w:b/>
          <w:color w:val="000000"/>
          <w:u w:val="single"/>
        </w:rPr>
        <w:t>20</w:t>
      </w:r>
      <w:r w:rsidR="00804A9F">
        <w:rPr>
          <w:rFonts w:cs="Times New Roman"/>
          <w:b/>
          <w:color w:val="000000"/>
          <w:u w:val="single"/>
        </w:rPr>
        <w:t>5</w:t>
      </w:r>
      <w:r w:rsidR="00E30B54">
        <w:rPr>
          <w:rFonts w:cs="Times New Roman"/>
          <w:b/>
          <w:color w:val="000000"/>
          <w:u w:val="single"/>
        </w:rPr>
        <w:t>,000</w:t>
      </w:r>
      <w:r w:rsidR="00FC43A8">
        <w:rPr>
          <w:rFonts w:cs="Times New Roman"/>
          <w:b/>
          <w:color w:val="000000"/>
          <w:u w:val="single"/>
        </w:rPr>
        <w:t>)</w:t>
      </w:r>
    </w:p>
    <w:p w:rsidR="00881DDA"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Typically the RTF sets aside funding for review of specific </w:t>
      </w:r>
      <w:r w:rsidR="0059394C">
        <w:rPr>
          <w:rFonts w:ascii="Times New Roman" w:hAnsi="Times New Roman" w:cs="Times New Roman"/>
          <w:color w:val="000000"/>
        </w:rPr>
        <w:t xml:space="preserve">high-priority new </w:t>
      </w:r>
      <w:r w:rsidR="00987EC5">
        <w:rPr>
          <w:rFonts w:ascii="Times New Roman" w:hAnsi="Times New Roman" w:cs="Times New Roman"/>
          <w:color w:val="000000"/>
        </w:rPr>
        <w:t xml:space="preserve">measures </w:t>
      </w:r>
      <w:r>
        <w:rPr>
          <w:rFonts w:ascii="Times New Roman" w:hAnsi="Times New Roman" w:cs="Times New Roman"/>
          <w:color w:val="000000"/>
        </w:rPr>
        <w:t>as well as unanticipated new measures or protocols proposed during the year</w:t>
      </w:r>
      <w:r w:rsidR="0096697E">
        <w:rPr>
          <w:rFonts w:ascii="Times New Roman" w:hAnsi="Times New Roman" w:cs="Times New Roman"/>
          <w:color w:val="000000"/>
        </w:rPr>
        <w:t xml:space="preserve">. </w:t>
      </w:r>
      <w:r w:rsidR="00644921">
        <w:rPr>
          <w:rFonts w:ascii="Times New Roman" w:hAnsi="Times New Roman" w:cs="Times New Roman"/>
          <w:color w:val="000000"/>
        </w:rPr>
        <w:t>Approximately</w:t>
      </w:r>
      <w:r w:rsidR="00E30B54">
        <w:rPr>
          <w:rFonts w:ascii="Times New Roman" w:hAnsi="Times New Roman" w:cs="Times New Roman"/>
          <w:color w:val="000000"/>
        </w:rPr>
        <w:t>1</w:t>
      </w:r>
      <w:r w:rsidR="001439E0">
        <w:rPr>
          <w:rFonts w:ascii="Times New Roman" w:hAnsi="Times New Roman" w:cs="Times New Roman"/>
          <w:color w:val="000000"/>
        </w:rPr>
        <w:t>4</w:t>
      </w:r>
      <w:r w:rsidR="00E30B54">
        <w:rPr>
          <w:rFonts w:ascii="Times New Roman" w:hAnsi="Times New Roman" w:cs="Times New Roman"/>
          <w:color w:val="000000"/>
        </w:rPr>
        <w:t xml:space="preserve"> </w:t>
      </w:r>
      <w:r w:rsidR="00AC6BF7" w:rsidRPr="00AC6BF7">
        <w:rPr>
          <w:rFonts w:ascii="Times New Roman" w:hAnsi="Times New Roman" w:cs="Times New Roman"/>
          <w:color w:val="000000"/>
        </w:rPr>
        <w:t>percent</w:t>
      </w:r>
      <w:r>
        <w:rPr>
          <w:rFonts w:ascii="Times New Roman" w:hAnsi="Times New Roman" w:cs="Times New Roman"/>
          <w:color w:val="000000"/>
        </w:rPr>
        <w:t xml:space="preserve"> of the </w:t>
      </w:r>
      <w:r w:rsidR="00687786">
        <w:rPr>
          <w:rFonts w:ascii="Times New Roman" w:hAnsi="Times New Roman" w:cs="Times New Roman"/>
          <w:color w:val="000000"/>
        </w:rPr>
        <w:t>2014</w:t>
      </w:r>
      <w:r>
        <w:rPr>
          <w:rFonts w:ascii="Times New Roman" w:hAnsi="Times New Roman" w:cs="Times New Roman"/>
          <w:color w:val="000000"/>
        </w:rPr>
        <w:t xml:space="preserve"> budget is set aside for </w:t>
      </w:r>
      <w:r w:rsidR="0059394C">
        <w:rPr>
          <w:rFonts w:ascii="Times New Roman" w:hAnsi="Times New Roman" w:cs="Times New Roman"/>
          <w:color w:val="000000"/>
        </w:rPr>
        <w:t>new measure</w:t>
      </w:r>
      <w:r>
        <w:rPr>
          <w:rFonts w:ascii="Times New Roman" w:hAnsi="Times New Roman" w:cs="Times New Roman"/>
          <w:color w:val="000000"/>
        </w:rPr>
        <w:t xml:space="preserve"> work</w:t>
      </w:r>
      <w:r w:rsidR="0096697E">
        <w:rPr>
          <w:rFonts w:ascii="Times New Roman" w:hAnsi="Times New Roman" w:cs="Times New Roman"/>
          <w:color w:val="000000"/>
        </w:rPr>
        <w:t xml:space="preserve">. </w:t>
      </w:r>
      <w:r w:rsidR="0059394C">
        <w:rPr>
          <w:rFonts w:ascii="Times New Roman" w:hAnsi="Times New Roman" w:cs="Times New Roman"/>
          <w:color w:val="000000"/>
        </w:rPr>
        <w:t xml:space="preserve">This estimate is based on </w:t>
      </w:r>
      <w:r w:rsidR="00E30B54">
        <w:rPr>
          <w:rFonts w:ascii="Times New Roman" w:hAnsi="Times New Roman" w:cs="Times New Roman"/>
          <w:color w:val="000000"/>
        </w:rPr>
        <w:t xml:space="preserve">prior experience where </w:t>
      </w:r>
      <w:r w:rsidR="0059394C">
        <w:rPr>
          <w:rFonts w:ascii="Times New Roman" w:hAnsi="Times New Roman" w:cs="Times New Roman"/>
          <w:color w:val="000000"/>
        </w:rPr>
        <w:t xml:space="preserve">much of the development </w:t>
      </w:r>
      <w:r w:rsidR="00E71E15">
        <w:rPr>
          <w:rFonts w:ascii="Times New Roman" w:hAnsi="Times New Roman" w:cs="Times New Roman"/>
          <w:color w:val="000000"/>
        </w:rPr>
        <w:t>and research required for</w:t>
      </w:r>
      <w:r w:rsidR="0059394C">
        <w:rPr>
          <w:rFonts w:ascii="Times New Roman" w:hAnsi="Times New Roman" w:cs="Times New Roman"/>
          <w:color w:val="000000"/>
        </w:rPr>
        <w:t xml:space="preserve"> new measures is </w:t>
      </w:r>
      <w:r w:rsidR="00881DDA">
        <w:rPr>
          <w:rFonts w:ascii="Times New Roman" w:hAnsi="Times New Roman" w:cs="Times New Roman"/>
          <w:color w:val="000000"/>
        </w:rPr>
        <w:t xml:space="preserve">done </w:t>
      </w:r>
      <w:r w:rsidR="0059394C">
        <w:rPr>
          <w:rFonts w:ascii="Times New Roman" w:hAnsi="Times New Roman" w:cs="Times New Roman"/>
          <w:color w:val="000000"/>
        </w:rPr>
        <w:t>outside the RTF</w:t>
      </w:r>
      <w:r w:rsidR="00987EC5">
        <w:rPr>
          <w:rFonts w:ascii="Times New Roman" w:hAnsi="Times New Roman" w:cs="Times New Roman"/>
          <w:color w:val="000000"/>
        </w:rPr>
        <w:t>, with the RTF budget assuming the costs of review</w:t>
      </w:r>
      <w:r w:rsidR="00881DDA">
        <w:rPr>
          <w:rFonts w:ascii="Times New Roman" w:hAnsi="Times New Roman" w:cs="Times New Roman"/>
          <w:color w:val="000000"/>
        </w:rPr>
        <w:t xml:space="preserve"> </w:t>
      </w:r>
      <w:r w:rsidR="00644921">
        <w:rPr>
          <w:rFonts w:ascii="Times New Roman" w:hAnsi="Times New Roman" w:cs="Times New Roman"/>
          <w:color w:val="000000"/>
        </w:rPr>
        <w:t xml:space="preserve">and assistance </w:t>
      </w:r>
      <w:r w:rsidR="00881DDA">
        <w:rPr>
          <w:rFonts w:ascii="Times New Roman" w:hAnsi="Times New Roman" w:cs="Times New Roman"/>
          <w:color w:val="000000"/>
        </w:rPr>
        <w:t xml:space="preserve">by </w:t>
      </w:r>
      <w:r w:rsidR="00644921">
        <w:rPr>
          <w:rFonts w:ascii="Times New Roman" w:hAnsi="Times New Roman" w:cs="Times New Roman"/>
          <w:color w:val="000000"/>
        </w:rPr>
        <w:t>S</w:t>
      </w:r>
      <w:r w:rsidR="00881DDA">
        <w:rPr>
          <w:rFonts w:ascii="Times New Roman" w:hAnsi="Times New Roman" w:cs="Times New Roman"/>
          <w:color w:val="000000"/>
        </w:rPr>
        <w:t>taff and occasional outside contract support</w:t>
      </w:r>
      <w:r w:rsidR="0096697E">
        <w:rPr>
          <w:rFonts w:ascii="Times New Roman" w:hAnsi="Times New Roman" w:cs="Times New Roman"/>
          <w:color w:val="000000"/>
        </w:rPr>
        <w:t xml:space="preserve">. </w:t>
      </w:r>
      <w:r w:rsidR="0059394C">
        <w:rPr>
          <w:rFonts w:ascii="Times New Roman" w:hAnsi="Times New Roman" w:cs="Times New Roman"/>
          <w:color w:val="000000"/>
        </w:rPr>
        <w:t xml:space="preserve">This </w:t>
      </w:r>
      <w:r w:rsidR="00987EC5">
        <w:rPr>
          <w:rFonts w:ascii="Times New Roman" w:hAnsi="Times New Roman" w:cs="Times New Roman"/>
          <w:color w:val="000000"/>
        </w:rPr>
        <w:t xml:space="preserve">development approach </w:t>
      </w:r>
      <w:r w:rsidR="0059394C">
        <w:rPr>
          <w:rFonts w:ascii="Times New Roman" w:hAnsi="Times New Roman" w:cs="Times New Roman"/>
          <w:color w:val="000000"/>
        </w:rPr>
        <w:t>has typically been the case over recent years for high priority measures</w:t>
      </w:r>
      <w:r w:rsidR="00987EC5">
        <w:rPr>
          <w:rFonts w:ascii="Times New Roman" w:hAnsi="Times New Roman" w:cs="Times New Roman"/>
          <w:color w:val="000000"/>
        </w:rPr>
        <w:t xml:space="preserve"> such as heat-pump water heaters and ductless heat pumps</w:t>
      </w:r>
      <w:r w:rsidR="00881DDA">
        <w:rPr>
          <w:rFonts w:ascii="Times New Roman" w:hAnsi="Times New Roman" w:cs="Times New Roman"/>
          <w:color w:val="000000"/>
        </w:rPr>
        <w:t xml:space="preserve">, although with the completion of the </w:t>
      </w:r>
      <w:r w:rsidR="00881DDA" w:rsidRPr="00E30B54">
        <w:rPr>
          <w:rFonts w:ascii="Times New Roman" w:hAnsi="Times New Roman" w:cs="Times New Roman"/>
          <w:i/>
          <w:color w:val="000000"/>
        </w:rPr>
        <w:t>Guidelines</w:t>
      </w:r>
      <w:r w:rsidR="00881DDA">
        <w:rPr>
          <w:rFonts w:ascii="Times New Roman" w:hAnsi="Times New Roman" w:cs="Times New Roman"/>
          <w:color w:val="000000"/>
        </w:rPr>
        <w:t xml:space="preserve"> in </w:t>
      </w:r>
      <w:r w:rsidR="00687786">
        <w:rPr>
          <w:rFonts w:ascii="Times New Roman" w:hAnsi="Times New Roman" w:cs="Times New Roman"/>
          <w:color w:val="000000"/>
        </w:rPr>
        <w:t>2013</w:t>
      </w:r>
      <w:r w:rsidR="00881DDA">
        <w:rPr>
          <w:rFonts w:ascii="Times New Roman" w:hAnsi="Times New Roman" w:cs="Times New Roman"/>
          <w:color w:val="000000"/>
        </w:rPr>
        <w:t>, more utilities and 3</w:t>
      </w:r>
      <w:r w:rsidR="00881DDA" w:rsidRPr="00881DDA">
        <w:rPr>
          <w:rFonts w:ascii="Times New Roman" w:hAnsi="Times New Roman" w:cs="Times New Roman"/>
          <w:color w:val="000000"/>
          <w:vertAlign w:val="superscript"/>
        </w:rPr>
        <w:t>rd</w:t>
      </w:r>
      <w:r w:rsidR="00881DDA">
        <w:rPr>
          <w:rFonts w:ascii="Times New Roman" w:hAnsi="Times New Roman" w:cs="Times New Roman"/>
          <w:color w:val="000000"/>
        </w:rPr>
        <w:t xml:space="preserve"> party entities </w:t>
      </w:r>
      <w:r w:rsidR="00E30B54">
        <w:rPr>
          <w:rFonts w:ascii="Times New Roman" w:hAnsi="Times New Roman" w:cs="Times New Roman"/>
          <w:color w:val="000000"/>
        </w:rPr>
        <w:t xml:space="preserve">have been </w:t>
      </w:r>
      <w:r w:rsidR="00881DDA">
        <w:rPr>
          <w:rFonts w:ascii="Times New Roman" w:hAnsi="Times New Roman" w:cs="Times New Roman"/>
          <w:color w:val="000000"/>
        </w:rPr>
        <w:t xml:space="preserve">completing </w:t>
      </w:r>
      <w:r w:rsidR="00E30B54">
        <w:rPr>
          <w:rFonts w:ascii="Times New Roman" w:hAnsi="Times New Roman" w:cs="Times New Roman"/>
          <w:color w:val="000000"/>
        </w:rPr>
        <w:t xml:space="preserve">the majority </w:t>
      </w:r>
      <w:r w:rsidR="00881DDA">
        <w:rPr>
          <w:rFonts w:ascii="Times New Roman" w:hAnsi="Times New Roman" w:cs="Times New Roman"/>
          <w:color w:val="000000"/>
        </w:rPr>
        <w:t>this research prior to submitting measures to the RTF for review.</w:t>
      </w:r>
    </w:p>
    <w:p w:rsidR="00881DDA" w:rsidRDefault="00881DDA"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47958" w:rsidRDefault="00881DDA"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As with past years, t</w:t>
      </w:r>
      <w:r w:rsidR="0029762F">
        <w:rPr>
          <w:rFonts w:ascii="Times New Roman" w:hAnsi="Times New Roman" w:cs="Times New Roman"/>
          <w:color w:val="000000"/>
        </w:rPr>
        <w:t xml:space="preserve">he RTF has allocated </w:t>
      </w:r>
      <w:r>
        <w:rPr>
          <w:rFonts w:ascii="Times New Roman" w:hAnsi="Times New Roman" w:cs="Times New Roman"/>
          <w:color w:val="000000"/>
        </w:rPr>
        <w:t xml:space="preserve">a portion of its </w:t>
      </w:r>
      <w:r w:rsidR="00687786">
        <w:rPr>
          <w:rFonts w:ascii="Times New Roman" w:hAnsi="Times New Roman" w:cs="Times New Roman"/>
          <w:color w:val="000000"/>
        </w:rPr>
        <w:t>2014</w:t>
      </w:r>
      <w:r w:rsidR="0029762F">
        <w:rPr>
          <w:rFonts w:ascii="Times New Roman" w:hAnsi="Times New Roman" w:cs="Times New Roman"/>
          <w:color w:val="000000"/>
        </w:rPr>
        <w:t xml:space="preserve"> budget for the review and development of measures specifically </w:t>
      </w:r>
      <w:r w:rsidR="005E70B0">
        <w:rPr>
          <w:rFonts w:ascii="Times New Roman" w:hAnsi="Times New Roman" w:cs="Times New Roman"/>
          <w:color w:val="000000"/>
        </w:rPr>
        <w:t xml:space="preserve">targeted at </w:t>
      </w:r>
      <w:r w:rsidR="00CD49A6">
        <w:rPr>
          <w:rFonts w:ascii="Times New Roman" w:hAnsi="Times New Roman" w:cs="Times New Roman"/>
          <w:color w:val="000000"/>
        </w:rPr>
        <w:t>s</w:t>
      </w:r>
      <w:r w:rsidR="0029762F">
        <w:rPr>
          <w:rFonts w:ascii="Times New Roman" w:hAnsi="Times New Roman" w:cs="Times New Roman"/>
          <w:color w:val="000000"/>
        </w:rPr>
        <w:t xml:space="preserve">mall and </w:t>
      </w:r>
      <w:r w:rsidR="00CD49A6">
        <w:rPr>
          <w:rFonts w:ascii="Times New Roman" w:hAnsi="Times New Roman" w:cs="Times New Roman"/>
          <w:color w:val="000000"/>
        </w:rPr>
        <w:t>r</w:t>
      </w:r>
      <w:r w:rsidR="0029762F">
        <w:rPr>
          <w:rFonts w:ascii="Times New Roman" w:hAnsi="Times New Roman" w:cs="Times New Roman"/>
          <w:color w:val="000000"/>
        </w:rPr>
        <w:t>ural utilities in recognition of their limited resources</w:t>
      </w:r>
      <w:r w:rsidR="00CD49A6">
        <w:rPr>
          <w:rFonts w:ascii="Times New Roman" w:hAnsi="Times New Roman" w:cs="Times New Roman"/>
          <w:color w:val="000000"/>
        </w:rPr>
        <w:t xml:space="preserve"> and the unique circumstances of their service territories</w:t>
      </w:r>
      <w:r w:rsidR="0029762F">
        <w:rPr>
          <w:rFonts w:ascii="Times New Roman" w:hAnsi="Times New Roman" w:cs="Times New Roman"/>
          <w:color w:val="000000"/>
        </w:rPr>
        <w:t>.</w:t>
      </w:r>
      <w:r>
        <w:rPr>
          <w:rFonts w:ascii="Times New Roman" w:hAnsi="Times New Roman" w:cs="Times New Roman"/>
          <w:color w:val="000000"/>
        </w:rPr>
        <w:t xml:space="preserve"> For </w:t>
      </w:r>
      <w:r w:rsidR="00687786">
        <w:rPr>
          <w:rFonts w:ascii="Times New Roman" w:hAnsi="Times New Roman" w:cs="Times New Roman"/>
          <w:color w:val="000000"/>
        </w:rPr>
        <w:t>2014</w:t>
      </w:r>
      <w:r>
        <w:rPr>
          <w:rFonts w:ascii="Times New Roman" w:hAnsi="Times New Roman" w:cs="Times New Roman"/>
          <w:color w:val="000000"/>
        </w:rPr>
        <w:t xml:space="preserve">, the RTF plans on </w:t>
      </w:r>
      <w:r w:rsidR="00CD49A6">
        <w:rPr>
          <w:rFonts w:ascii="Times New Roman" w:hAnsi="Times New Roman" w:cs="Times New Roman"/>
          <w:color w:val="000000"/>
        </w:rPr>
        <w:t xml:space="preserve">allocating </w:t>
      </w:r>
      <w:r w:rsidR="00BF0CA1">
        <w:rPr>
          <w:rFonts w:ascii="Times New Roman" w:hAnsi="Times New Roman" w:cs="Times New Roman"/>
          <w:color w:val="000000"/>
        </w:rPr>
        <w:t>$</w:t>
      </w:r>
      <w:r w:rsidR="00644921">
        <w:rPr>
          <w:rFonts w:ascii="Times New Roman" w:hAnsi="Times New Roman" w:cs="Times New Roman"/>
          <w:color w:val="000000"/>
        </w:rPr>
        <w:t>48</w:t>
      </w:r>
      <w:r>
        <w:rPr>
          <w:rFonts w:ascii="Times New Roman" w:hAnsi="Times New Roman" w:cs="Times New Roman"/>
          <w:color w:val="000000"/>
        </w:rPr>
        <w:t xml:space="preserve">,000 towards the development of measures </w:t>
      </w:r>
      <w:r w:rsidR="00CD49A6">
        <w:rPr>
          <w:rFonts w:ascii="Times New Roman" w:hAnsi="Times New Roman" w:cs="Times New Roman"/>
          <w:color w:val="000000"/>
        </w:rPr>
        <w:t xml:space="preserve">identified </w:t>
      </w:r>
      <w:r>
        <w:rPr>
          <w:rFonts w:ascii="Times New Roman" w:hAnsi="Times New Roman" w:cs="Times New Roman"/>
          <w:color w:val="000000"/>
        </w:rPr>
        <w:t xml:space="preserve">by the small/rural subcommittee. </w:t>
      </w:r>
      <w:r w:rsidR="00BF0CA1">
        <w:rPr>
          <w:rFonts w:ascii="Times New Roman" w:hAnsi="Times New Roman" w:cs="Times New Roman"/>
          <w:color w:val="000000"/>
        </w:rPr>
        <w:t>S</w:t>
      </w:r>
      <w:r>
        <w:rPr>
          <w:rFonts w:ascii="Times New Roman" w:hAnsi="Times New Roman" w:cs="Times New Roman"/>
          <w:color w:val="000000"/>
        </w:rPr>
        <w:t xml:space="preserve">taff resources have been allocated to review </w:t>
      </w:r>
      <w:r w:rsidR="00644921">
        <w:rPr>
          <w:rFonts w:ascii="Times New Roman" w:hAnsi="Times New Roman" w:cs="Times New Roman"/>
          <w:color w:val="000000"/>
        </w:rPr>
        <w:t xml:space="preserve">and assist with the development of </w:t>
      </w:r>
      <w:r>
        <w:rPr>
          <w:rFonts w:ascii="Times New Roman" w:hAnsi="Times New Roman" w:cs="Times New Roman"/>
          <w:color w:val="000000"/>
        </w:rPr>
        <w:t xml:space="preserve">these work products and other measures that </w:t>
      </w:r>
      <w:r w:rsidR="005E70B0">
        <w:rPr>
          <w:rFonts w:ascii="Times New Roman" w:hAnsi="Times New Roman" w:cs="Times New Roman"/>
          <w:color w:val="000000"/>
        </w:rPr>
        <w:t xml:space="preserve">get adopted by the RTF </w:t>
      </w:r>
      <w:r w:rsidR="00644921">
        <w:rPr>
          <w:rFonts w:ascii="Times New Roman" w:hAnsi="Times New Roman" w:cs="Times New Roman"/>
          <w:color w:val="000000"/>
        </w:rPr>
        <w:t xml:space="preserve">and </w:t>
      </w:r>
      <w:r w:rsidR="005E70B0">
        <w:rPr>
          <w:rFonts w:ascii="Times New Roman" w:hAnsi="Times New Roman" w:cs="Times New Roman"/>
          <w:color w:val="000000"/>
        </w:rPr>
        <w:t xml:space="preserve">which </w:t>
      </w:r>
      <w:r>
        <w:rPr>
          <w:rFonts w:ascii="Times New Roman" w:hAnsi="Times New Roman" w:cs="Times New Roman"/>
          <w:color w:val="000000"/>
        </w:rPr>
        <w:t>may require modification to be appl</w:t>
      </w:r>
      <w:r w:rsidR="005E70B0">
        <w:rPr>
          <w:rFonts w:ascii="Times New Roman" w:hAnsi="Times New Roman" w:cs="Times New Roman"/>
          <w:color w:val="000000"/>
        </w:rPr>
        <w:t>icable to small/rural utilities.</w:t>
      </w:r>
    </w:p>
    <w:p w:rsidR="005A22C6" w:rsidRDefault="005A22C6"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64E74" w:rsidRPr="00FC43A8" w:rsidRDefault="00E64E7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r w:rsidRPr="00FC43A8">
        <w:rPr>
          <w:rFonts w:cs="Times New Roman"/>
          <w:b/>
          <w:color w:val="000000"/>
          <w:u w:val="single"/>
        </w:rPr>
        <w:t>Tool Development</w:t>
      </w:r>
      <w:r w:rsidR="00881DDA">
        <w:rPr>
          <w:rFonts w:cs="Times New Roman"/>
          <w:b/>
          <w:color w:val="000000"/>
          <w:u w:val="single"/>
        </w:rPr>
        <w:t xml:space="preserve"> ($</w:t>
      </w:r>
      <w:r w:rsidR="00644921">
        <w:rPr>
          <w:rFonts w:cs="Times New Roman"/>
          <w:b/>
          <w:color w:val="000000"/>
          <w:u w:val="single"/>
        </w:rPr>
        <w:t>1</w:t>
      </w:r>
      <w:r w:rsidR="00E87DCD">
        <w:rPr>
          <w:rFonts w:cs="Times New Roman"/>
          <w:b/>
          <w:color w:val="000000"/>
          <w:u w:val="single"/>
        </w:rPr>
        <w:t>85</w:t>
      </w:r>
      <w:r w:rsidR="005E70B0">
        <w:rPr>
          <w:rFonts w:cs="Times New Roman"/>
          <w:b/>
          <w:color w:val="000000"/>
          <w:u w:val="single"/>
        </w:rPr>
        <w:t>,</w:t>
      </w:r>
      <w:r w:rsidR="00E87DCD">
        <w:rPr>
          <w:rFonts w:cs="Times New Roman"/>
          <w:b/>
          <w:color w:val="000000"/>
          <w:u w:val="single"/>
        </w:rPr>
        <w:t>0</w:t>
      </w:r>
      <w:r w:rsidR="005E70B0">
        <w:rPr>
          <w:rFonts w:cs="Times New Roman"/>
          <w:b/>
          <w:color w:val="000000"/>
          <w:u w:val="single"/>
        </w:rPr>
        <w:t>00</w:t>
      </w:r>
      <w:r w:rsidR="00FC43A8">
        <w:rPr>
          <w:rFonts w:cs="Times New Roman"/>
          <w:b/>
          <w:color w:val="000000"/>
          <w:u w:val="single"/>
        </w:rPr>
        <w:t>)</w:t>
      </w:r>
    </w:p>
    <w:p w:rsidR="00E64E74" w:rsidRDefault="00E64E7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 work of the RTF, its technical analysis, recommendations</w:t>
      </w:r>
      <w:r w:rsidR="005A22C6">
        <w:rPr>
          <w:rFonts w:ascii="Times New Roman" w:hAnsi="Times New Roman" w:cs="Times New Roman"/>
          <w:color w:val="000000"/>
        </w:rPr>
        <w:t>,</w:t>
      </w:r>
      <w:r>
        <w:rPr>
          <w:rFonts w:ascii="Times New Roman" w:hAnsi="Times New Roman" w:cs="Times New Roman"/>
          <w:color w:val="000000"/>
        </w:rPr>
        <w:t xml:space="preserve"> and specifications require continued development of analytic</w:t>
      </w:r>
      <w:r w:rsidR="00B76E59">
        <w:rPr>
          <w:rFonts w:ascii="Times New Roman" w:hAnsi="Times New Roman" w:cs="Times New Roman"/>
          <w:color w:val="000000"/>
        </w:rPr>
        <w:t>al</w:t>
      </w:r>
      <w:r>
        <w:rPr>
          <w:rFonts w:ascii="Times New Roman" w:hAnsi="Times New Roman" w:cs="Times New Roman"/>
          <w:color w:val="000000"/>
        </w:rPr>
        <w:t xml:space="preserve"> tools and measure specifications used region</w:t>
      </w:r>
      <w:r w:rsidR="00B76E59">
        <w:rPr>
          <w:rFonts w:ascii="Times New Roman" w:hAnsi="Times New Roman" w:cs="Times New Roman"/>
          <w:color w:val="000000"/>
        </w:rPr>
        <w:t>-</w:t>
      </w:r>
      <w:r>
        <w:rPr>
          <w:rFonts w:ascii="Times New Roman" w:hAnsi="Times New Roman" w:cs="Times New Roman"/>
          <w:color w:val="000000"/>
        </w:rPr>
        <w:t>wide</w:t>
      </w:r>
      <w:r w:rsidR="0096697E">
        <w:rPr>
          <w:rFonts w:ascii="Times New Roman" w:hAnsi="Times New Roman" w:cs="Times New Roman"/>
          <w:color w:val="000000"/>
        </w:rPr>
        <w:t xml:space="preserve">. </w:t>
      </w:r>
      <w:r w:rsidR="005E70B0">
        <w:rPr>
          <w:rFonts w:ascii="Times New Roman" w:hAnsi="Times New Roman" w:cs="Times New Roman"/>
          <w:color w:val="000000"/>
        </w:rPr>
        <w:t xml:space="preserve">The </w:t>
      </w:r>
      <w:r w:rsidR="00687786">
        <w:rPr>
          <w:rFonts w:ascii="Times New Roman" w:hAnsi="Times New Roman" w:cs="Times New Roman"/>
          <w:color w:val="000000"/>
        </w:rPr>
        <w:t>2014</w:t>
      </w:r>
      <w:r w:rsidR="00AC6BF7" w:rsidRPr="00AC6BF7">
        <w:rPr>
          <w:rFonts w:ascii="Times New Roman" w:hAnsi="Times New Roman" w:cs="Times New Roman"/>
          <w:color w:val="000000"/>
        </w:rPr>
        <w:t xml:space="preserve"> budget </w:t>
      </w:r>
      <w:r w:rsidR="005E70B0">
        <w:rPr>
          <w:rFonts w:ascii="Times New Roman" w:hAnsi="Times New Roman" w:cs="Times New Roman"/>
          <w:color w:val="000000"/>
        </w:rPr>
        <w:t xml:space="preserve">allocates funding </w:t>
      </w:r>
      <w:r>
        <w:rPr>
          <w:rFonts w:ascii="Times New Roman" w:hAnsi="Times New Roman" w:cs="Times New Roman"/>
          <w:color w:val="000000"/>
        </w:rPr>
        <w:t xml:space="preserve">for </w:t>
      </w:r>
      <w:r w:rsidR="005E70B0">
        <w:rPr>
          <w:rFonts w:ascii="Times New Roman" w:hAnsi="Times New Roman" w:cs="Times New Roman"/>
          <w:color w:val="000000"/>
        </w:rPr>
        <w:t xml:space="preserve">the </w:t>
      </w:r>
      <w:r>
        <w:rPr>
          <w:rFonts w:ascii="Times New Roman" w:hAnsi="Times New Roman" w:cs="Times New Roman"/>
          <w:color w:val="000000"/>
        </w:rPr>
        <w:t xml:space="preserve">development or enhancement of the economic analysis tool ProCost, </w:t>
      </w:r>
      <w:r w:rsidR="00B76E59">
        <w:rPr>
          <w:rFonts w:ascii="Times New Roman" w:hAnsi="Times New Roman" w:cs="Times New Roman"/>
          <w:color w:val="000000"/>
        </w:rPr>
        <w:t>the</w:t>
      </w:r>
      <w:r>
        <w:rPr>
          <w:rFonts w:ascii="Times New Roman" w:hAnsi="Times New Roman" w:cs="Times New Roman"/>
          <w:color w:val="000000"/>
        </w:rPr>
        <w:t xml:space="preserve"> residential heat loss simulation </w:t>
      </w:r>
      <w:r w:rsidR="00B76E59">
        <w:rPr>
          <w:rFonts w:ascii="Times New Roman" w:hAnsi="Times New Roman" w:cs="Times New Roman"/>
          <w:color w:val="000000"/>
        </w:rPr>
        <w:t xml:space="preserve">model </w:t>
      </w:r>
      <w:r w:rsidR="00BA3A89">
        <w:rPr>
          <w:rFonts w:ascii="Times New Roman" w:hAnsi="Times New Roman" w:cs="Times New Roman"/>
          <w:color w:val="000000"/>
        </w:rPr>
        <w:t>SEEM, and tools used by field practitioners to assure measure specifications are met</w:t>
      </w:r>
      <w:r w:rsidR="0096697E">
        <w:rPr>
          <w:rFonts w:ascii="Times New Roman" w:hAnsi="Times New Roman" w:cs="Times New Roman"/>
          <w:color w:val="000000"/>
        </w:rPr>
        <w:t xml:space="preserve">. </w:t>
      </w:r>
      <w:r w:rsidR="005E70B0">
        <w:rPr>
          <w:rFonts w:ascii="Times New Roman" w:hAnsi="Times New Roman" w:cs="Times New Roman"/>
          <w:color w:val="000000"/>
        </w:rPr>
        <w:t xml:space="preserve">Approximately </w:t>
      </w:r>
      <w:r w:rsidR="002044AD">
        <w:rPr>
          <w:rFonts w:ascii="Times New Roman" w:hAnsi="Times New Roman" w:cs="Times New Roman"/>
          <w:color w:val="000000"/>
        </w:rPr>
        <w:t>13</w:t>
      </w:r>
      <w:r w:rsidR="001439E0">
        <w:rPr>
          <w:rFonts w:ascii="Times New Roman" w:hAnsi="Times New Roman" w:cs="Times New Roman"/>
          <w:color w:val="000000"/>
        </w:rPr>
        <w:t xml:space="preserve"> </w:t>
      </w:r>
      <w:r w:rsidR="00AC6BF7" w:rsidRPr="00AC6BF7">
        <w:rPr>
          <w:rFonts w:ascii="Times New Roman" w:hAnsi="Times New Roman" w:cs="Times New Roman"/>
          <w:color w:val="000000"/>
        </w:rPr>
        <w:t>percent</w:t>
      </w:r>
      <w:r w:rsidR="00BA3A89">
        <w:rPr>
          <w:rFonts w:ascii="Times New Roman" w:hAnsi="Times New Roman" w:cs="Times New Roman"/>
          <w:color w:val="000000"/>
        </w:rPr>
        <w:t xml:space="preserve"> of the budget is allocated to </w:t>
      </w:r>
      <w:r w:rsidR="005E70B0">
        <w:rPr>
          <w:rFonts w:ascii="Times New Roman" w:hAnsi="Times New Roman" w:cs="Times New Roman"/>
          <w:color w:val="000000"/>
        </w:rPr>
        <w:t xml:space="preserve">further </w:t>
      </w:r>
      <w:r w:rsidR="00BA3A89">
        <w:rPr>
          <w:rFonts w:ascii="Times New Roman" w:hAnsi="Times New Roman" w:cs="Times New Roman"/>
          <w:color w:val="000000"/>
        </w:rPr>
        <w:t>t</w:t>
      </w:r>
      <w:r w:rsidR="00870864">
        <w:rPr>
          <w:rFonts w:ascii="Times New Roman" w:hAnsi="Times New Roman" w:cs="Times New Roman"/>
          <w:color w:val="000000"/>
        </w:rPr>
        <w:t>ool development.</w:t>
      </w:r>
    </w:p>
    <w:p w:rsidR="00E64E74" w:rsidRDefault="00E64E7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A3A89" w:rsidRPr="00FC43A8" w:rsidRDefault="00BA3A89" w:rsidP="00BA3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r w:rsidRPr="00FC43A8">
        <w:rPr>
          <w:rFonts w:cs="Times New Roman"/>
          <w:b/>
          <w:color w:val="000000"/>
          <w:u w:val="single"/>
        </w:rPr>
        <w:t>Research Projects &amp; Data Development</w:t>
      </w:r>
      <w:r w:rsidR="00156B65">
        <w:rPr>
          <w:rFonts w:cs="Times New Roman"/>
          <w:b/>
          <w:color w:val="000000"/>
          <w:u w:val="single"/>
        </w:rPr>
        <w:t xml:space="preserve"> ($</w:t>
      </w:r>
      <w:r w:rsidR="00E87DCD">
        <w:rPr>
          <w:rFonts w:cs="Times New Roman"/>
          <w:b/>
          <w:color w:val="000000"/>
          <w:u w:val="single"/>
        </w:rPr>
        <w:t>12</w:t>
      </w:r>
      <w:r w:rsidR="00644921">
        <w:rPr>
          <w:rFonts w:cs="Times New Roman"/>
          <w:b/>
          <w:color w:val="000000"/>
          <w:u w:val="single"/>
        </w:rPr>
        <w:t>0</w:t>
      </w:r>
      <w:r w:rsidR="00156B65">
        <w:rPr>
          <w:rFonts w:cs="Times New Roman"/>
          <w:b/>
          <w:color w:val="000000"/>
          <w:u w:val="single"/>
        </w:rPr>
        <w:t>,</w:t>
      </w:r>
      <w:r w:rsidR="00644921">
        <w:rPr>
          <w:rFonts w:cs="Times New Roman"/>
          <w:b/>
          <w:color w:val="000000"/>
          <w:u w:val="single"/>
        </w:rPr>
        <w:t>0</w:t>
      </w:r>
      <w:r w:rsidR="00156B65">
        <w:rPr>
          <w:rFonts w:cs="Times New Roman"/>
          <w:b/>
          <w:color w:val="000000"/>
          <w:u w:val="single"/>
        </w:rPr>
        <w:t>00)</w:t>
      </w:r>
    </w:p>
    <w:p w:rsidR="00B47958" w:rsidRDefault="00B6704C"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Primary research has not been a key function of the RTF</w:t>
      </w:r>
      <w:r w:rsidR="00237473">
        <w:rPr>
          <w:rFonts w:ascii="Times New Roman" w:hAnsi="Times New Roman" w:cs="Times New Roman"/>
          <w:color w:val="000000"/>
        </w:rPr>
        <w:t xml:space="preserve"> </w:t>
      </w:r>
      <w:r w:rsidR="00326D04">
        <w:rPr>
          <w:rFonts w:ascii="Times New Roman" w:hAnsi="Times New Roman" w:cs="Times New Roman"/>
          <w:color w:val="000000"/>
        </w:rPr>
        <w:t xml:space="preserve">in the past </w:t>
      </w:r>
      <w:r w:rsidR="00237473">
        <w:rPr>
          <w:rFonts w:ascii="Times New Roman" w:hAnsi="Times New Roman" w:cs="Times New Roman"/>
          <w:color w:val="000000"/>
        </w:rPr>
        <w:t>because primary data collection is expensive</w:t>
      </w:r>
      <w:r w:rsidR="0096697E">
        <w:rPr>
          <w:rFonts w:ascii="Times New Roman" w:hAnsi="Times New Roman" w:cs="Times New Roman"/>
          <w:color w:val="000000"/>
        </w:rPr>
        <w:t xml:space="preserve">. </w:t>
      </w:r>
      <w:r w:rsidR="000F6781">
        <w:rPr>
          <w:rFonts w:ascii="Times New Roman" w:hAnsi="Times New Roman" w:cs="Times New Roman"/>
          <w:color w:val="000000"/>
        </w:rPr>
        <w:t xml:space="preserve">However, on occasion </w:t>
      </w:r>
      <w:r>
        <w:rPr>
          <w:rFonts w:ascii="Times New Roman" w:hAnsi="Times New Roman" w:cs="Times New Roman"/>
          <w:color w:val="000000"/>
        </w:rPr>
        <w:t xml:space="preserve">it has been </w:t>
      </w:r>
      <w:r w:rsidR="002B2613">
        <w:rPr>
          <w:rFonts w:ascii="Times New Roman" w:hAnsi="Times New Roman" w:cs="Times New Roman"/>
          <w:color w:val="000000"/>
        </w:rPr>
        <w:t xml:space="preserve">advantageous to use the RTF </w:t>
      </w:r>
      <w:r w:rsidR="000F6781">
        <w:rPr>
          <w:rFonts w:ascii="Times New Roman" w:hAnsi="Times New Roman" w:cs="Times New Roman"/>
          <w:color w:val="000000"/>
        </w:rPr>
        <w:t xml:space="preserve">to </w:t>
      </w:r>
      <w:r w:rsidR="002B2613">
        <w:rPr>
          <w:rFonts w:ascii="Times New Roman" w:hAnsi="Times New Roman" w:cs="Times New Roman"/>
          <w:color w:val="000000"/>
        </w:rPr>
        <w:t>sponsor primary research</w:t>
      </w:r>
      <w:r w:rsidR="00157087">
        <w:rPr>
          <w:rFonts w:ascii="Times New Roman" w:hAnsi="Times New Roman" w:cs="Times New Roman"/>
          <w:color w:val="000000"/>
        </w:rPr>
        <w:t xml:space="preserve">, or to coordinate secondary </w:t>
      </w:r>
      <w:r w:rsidR="00B82091">
        <w:rPr>
          <w:rFonts w:ascii="Times New Roman" w:hAnsi="Times New Roman" w:cs="Times New Roman"/>
          <w:color w:val="000000"/>
        </w:rPr>
        <w:t>research</w:t>
      </w:r>
      <w:r w:rsidR="002B2613">
        <w:rPr>
          <w:rFonts w:ascii="Times New Roman" w:hAnsi="Times New Roman" w:cs="Times New Roman"/>
          <w:color w:val="000000"/>
        </w:rPr>
        <w:t xml:space="preserve"> where there is disti</w:t>
      </w:r>
      <w:r w:rsidR="00326D04">
        <w:rPr>
          <w:rFonts w:ascii="Times New Roman" w:hAnsi="Times New Roman" w:cs="Times New Roman"/>
          <w:color w:val="000000"/>
        </w:rPr>
        <w:t>nct region-wide value</w:t>
      </w:r>
      <w:r w:rsidR="0096697E">
        <w:rPr>
          <w:rFonts w:ascii="Times New Roman" w:hAnsi="Times New Roman" w:cs="Times New Roman"/>
          <w:color w:val="000000"/>
        </w:rPr>
        <w:t xml:space="preserve">. </w:t>
      </w:r>
      <w:r w:rsidR="00326D04">
        <w:rPr>
          <w:rFonts w:ascii="Times New Roman" w:hAnsi="Times New Roman" w:cs="Times New Roman"/>
          <w:color w:val="000000"/>
        </w:rPr>
        <w:t xml:space="preserve">For </w:t>
      </w:r>
      <w:r w:rsidR="00687786">
        <w:rPr>
          <w:rFonts w:ascii="Times New Roman" w:hAnsi="Times New Roman" w:cs="Times New Roman"/>
          <w:color w:val="000000"/>
        </w:rPr>
        <w:t>2014</w:t>
      </w:r>
      <w:r w:rsidR="002B2613">
        <w:rPr>
          <w:rFonts w:ascii="Times New Roman" w:hAnsi="Times New Roman" w:cs="Times New Roman"/>
          <w:color w:val="000000"/>
        </w:rPr>
        <w:t xml:space="preserve">, this category is </w:t>
      </w:r>
      <w:r w:rsidR="005F6094">
        <w:rPr>
          <w:rFonts w:ascii="Times New Roman" w:hAnsi="Times New Roman" w:cs="Times New Roman"/>
          <w:color w:val="000000"/>
        </w:rPr>
        <w:t xml:space="preserve">focused on </w:t>
      </w:r>
      <w:r w:rsidR="00326D04">
        <w:rPr>
          <w:rFonts w:ascii="Times New Roman" w:hAnsi="Times New Roman" w:cs="Times New Roman"/>
          <w:color w:val="000000"/>
        </w:rPr>
        <w:t>updating HVAC and lighting interaction factors which have become outdated</w:t>
      </w:r>
      <w:r w:rsidR="00C21B5A">
        <w:rPr>
          <w:rFonts w:ascii="Times New Roman" w:hAnsi="Times New Roman" w:cs="Times New Roman"/>
          <w:color w:val="000000"/>
        </w:rPr>
        <w:t>,</w:t>
      </w:r>
      <w:r w:rsidR="00326D04">
        <w:rPr>
          <w:rFonts w:ascii="Times New Roman" w:hAnsi="Times New Roman" w:cs="Times New Roman"/>
          <w:color w:val="000000"/>
        </w:rPr>
        <w:t xml:space="preserve"> and </w:t>
      </w:r>
      <w:r w:rsidR="00C21B5A">
        <w:rPr>
          <w:rFonts w:ascii="Times New Roman" w:hAnsi="Times New Roman" w:cs="Times New Roman"/>
          <w:color w:val="000000"/>
        </w:rPr>
        <w:t xml:space="preserve">providing </w:t>
      </w:r>
      <w:r w:rsidR="00326D04">
        <w:rPr>
          <w:rFonts w:ascii="Times New Roman" w:hAnsi="Times New Roman" w:cs="Times New Roman"/>
          <w:color w:val="000000"/>
        </w:rPr>
        <w:t>continual maintenance and updates to the End</w:t>
      </w:r>
      <w:r w:rsidR="00D309BC">
        <w:rPr>
          <w:rFonts w:ascii="Times New Roman" w:hAnsi="Times New Roman" w:cs="Times New Roman"/>
          <w:color w:val="000000"/>
        </w:rPr>
        <w:t>-</w:t>
      </w:r>
      <w:r w:rsidR="00326D04">
        <w:rPr>
          <w:rFonts w:ascii="Times New Roman" w:hAnsi="Times New Roman" w:cs="Times New Roman"/>
          <w:color w:val="000000"/>
        </w:rPr>
        <w:t xml:space="preserve">Use Load Library </w:t>
      </w:r>
      <w:r w:rsidR="009A0010">
        <w:rPr>
          <w:rFonts w:ascii="Times New Roman" w:hAnsi="Times New Roman" w:cs="Times New Roman"/>
          <w:color w:val="000000"/>
        </w:rPr>
        <w:t xml:space="preserve">with additional ELCAP data </w:t>
      </w:r>
      <w:r w:rsidR="00326D04">
        <w:rPr>
          <w:rFonts w:ascii="Times New Roman" w:hAnsi="Times New Roman" w:cs="Times New Roman"/>
          <w:color w:val="000000"/>
        </w:rPr>
        <w:t xml:space="preserve">developed under the </w:t>
      </w:r>
      <w:r w:rsidR="00687786">
        <w:rPr>
          <w:rFonts w:ascii="Times New Roman" w:hAnsi="Times New Roman" w:cs="Times New Roman"/>
          <w:color w:val="000000"/>
        </w:rPr>
        <w:t>2013</w:t>
      </w:r>
      <w:r w:rsidR="00326D04">
        <w:rPr>
          <w:rFonts w:ascii="Times New Roman" w:hAnsi="Times New Roman" w:cs="Times New Roman"/>
          <w:color w:val="000000"/>
        </w:rPr>
        <w:t xml:space="preserve"> work plan</w:t>
      </w:r>
      <w:r w:rsidR="009A0010">
        <w:rPr>
          <w:rFonts w:ascii="Times New Roman" w:hAnsi="Times New Roman" w:cs="Times New Roman"/>
          <w:color w:val="000000"/>
        </w:rPr>
        <w:t xml:space="preserve"> or through the addition of new data</w:t>
      </w:r>
      <w:r w:rsidR="00326D04">
        <w:rPr>
          <w:rFonts w:ascii="Times New Roman" w:hAnsi="Times New Roman" w:cs="Times New Roman"/>
          <w:color w:val="000000"/>
        </w:rPr>
        <w:t xml:space="preserve">. </w:t>
      </w:r>
      <w:r w:rsidR="00870864">
        <w:rPr>
          <w:rFonts w:ascii="Times New Roman" w:hAnsi="Times New Roman" w:cs="Times New Roman"/>
          <w:color w:val="000000"/>
        </w:rPr>
        <w:t>In addition, budget has been allocated for Staff to assist with reviewing Power Plan inputs and supply curves as part of the early stages of the Seventh Power Plan development.</w:t>
      </w:r>
    </w:p>
    <w:p w:rsidR="00B47958" w:rsidRDefault="00B47958"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F1EB0" w:rsidRPr="00F44B10" w:rsidRDefault="002E1060"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r w:rsidRPr="002E1060">
        <w:rPr>
          <w:rFonts w:cs="Times New Roman"/>
          <w:b/>
          <w:color w:val="000000"/>
          <w:u w:val="single"/>
        </w:rPr>
        <w:t>Regional Coordination ($</w:t>
      </w:r>
      <w:r w:rsidR="00644921">
        <w:rPr>
          <w:rFonts w:cs="Times New Roman"/>
          <w:b/>
          <w:color w:val="000000"/>
          <w:u w:val="single"/>
        </w:rPr>
        <w:t>18</w:t>
      </w:r>
      <w:r w:rsidRPr="002E1060">
        <w:rPr>
          <w:rFonts w:cs="Times New Roman"/>
          <w:b/>
          <w:color w:val="000000"/>
          <w:u w:val="single"/>
        </w:rPr>
        <w:t>,</w:t>
      </w:r>
      <w:r w:rsidR="00644921">
        <w:rPr>
          <w:rFonts w:cs="Times New Roman"/>
          <w:b/>
          <w:color w:val="000000"/>
          <w:u w:val="single"/>
        </w:rPr>
        <w:t>5</w:t>
      </w:r>
      <w:r w:rsidRPr="002E1060">
        <w:rPr>
          <w:rFonts w:cs="Times New Roman"/>
          <w:b/>
          <w:color w:val="000000"/>
          <w:u w:val="single"/>
        </w:rPr>
        <w:t xml:space="preserve">00) </w:t>
      </w:r>
    </w:p>
    <w:p w:rsidR="0096697E" w:rsidRDefault="00E173C5" w:rsidP="00CA2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P</w:t>
      </w:r>
      <w:r w:rsidR="00AC6BF7" w:rsidRPr="00AC6BF7">
        <w:rPr>
          <w:rFonts w:ascii="Times New Roman" w:hAnsi="Times New Roman" w:cs="Times New Roman"/>
          <w:color w:val="000000"/>
        </w:rPr>
        <w:t xml:space="preserve">art of the </w:t>
      </w:r>
      <w:r w:rsidR="00687786">
        <w:rPr>
          <w:rFonts w:ascii="Times New Roman" w:hAnsi="Times New Roman" w:cs="Times New Roman"/>
          <w:color w:val="000000"/>
        </w:rPr>
        <w:t>2014</w:t>
      </w:r>
      <w:r w:rsidR="00AC6BF7" w:rsidRPr="00AC6BF7">
        <w:rPr>
          <w:rFonts w:ascii="Times New Roman" w:hAnsi="Times New Roman" w:cs="Times New Roman"/>
          <w:color w:val="000000"/>
        </w:rPr>
        <w:t xml:space="preserve"> budget </w:t>
      </w:r>
      <w:r w:rsidR="00FF1EB0">
        <w:rPr>
          <w:rFonts w:ascii="Times New Roman" w:hAnsi="Times New Roman" w:cs="Times New Roman"/>
          <w:color w:val="000000"/>
        </w:rPr>
        <w:t>is earmarked for regional coord</w:t>
      </w:r>
      <w:r w:rsidR="00CA2605">
        <w:rPr>
          <w:rFonts w:ascii="Times New Roman" w:hAnsi="Times New Roman" w:cs="Times New Roman"/>
          <w:color w:val="000000"/>
        </w:rPr>
        <w:t>ination efforts</w:t>
      </w:r>
      <w:r w:rsidR="0096697E">
        <w:rPr>
          <w:rFonts w:ascii="Times New Roman" w:hAnsi="Times New Roman" w:cs="Times New Roman"/>
          <w:color w:val="000000"/>
        </w:rPr>
        <w:t xml:space="preserve">. </w:t>
      </w:r>
      <w:r w:rsidR="00CA2605">
        <w:rPr>
          <w:rFonts w:ascii="Times New Roman" w:hAnsi="Times New Roman" w:cs="Times New Roman"/>
          <w:color w:val="000000"/>
        </w:rPr>
        <w:t xml:space="preserve">These </w:t>
      </w:r>
      <w:r>
        <w:rPr>
          <w:rFonts w:ascii="Times New Roman" w:hAnsi="Times New Roman" w:cs="Times New Roman"/>
          <w:color w:val="000000"/>
        </w:rPr>
        <w:t xml:space="preserve">efforts </w:t>
      </w:r>
      <w:r w:rsidR="00870864">
        <w:rPr>
          <w:rFonts w:ascii="Times New Roman" w:hAnsi="Times New Roman" w:cs="Times New Roman"/>
          <w:color w:val="000000"/>
        </w:rPr>
        <w:t xml:space="preserve">typically center on activities that are less measure specific and focus more on wider regional efforts that the RTF has identified as important issues to track. For 2014, this category consists mainly of conducting a </w:t>
      </w:r>
      <w:r w:rsidR="00870864" w:rsidRPr="0023436E">
        <w:rPr>
          <w:rFonts w:ascii="Times New Roman" w:hAnsi="Times New Roman" w:cs="Times New Roman"/>
          <w:color w:val="000000"/>
        </w:rPr>
        <w:t>comparison of utility/System Benefit Charge (SBC) administrator technical resource manuals</w:t>
      </w:r>
      <w:r w:rsidR="00870864">
        <w:rPr>
          <w:rFonts w:ascii="Times New Roman" w:hAnsi="Times New Roman" w:cs="Times New Roman"/>
          <w:color w:val="000000"/>
        </w:rPr>
        <w:t xml:space="preserve"> from around the nation to search for gaps or potential new measures, and collating regional research activities to better aid in research plan development for measures that may require it</w:t>
      </w:r>
      <w:r w:rsidR="0096697E">
        <w:rPr>
          <w:rFonts w:ascii="Times New Roman" w:hAnsi="Times New Roman" w:cs="Times New Roman"/>
          <w:color w:val="000000"/>
        </w:rPr>
        <w:t>.</w:t>
      </w:r>
    </w:p>
    <w:p w:rsidR="00545877" w:rsidRDefault="00545877" w:rsidP="00CA2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F1EB0" w:rsidRPr="004613DC" w:rsidRDefault="00934867"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u w:val="single"/>
        </w:rPr>
      </w:pPr>
      <w:r>
        <w:rPr>
          <w:rFonts w:cs="Times New Roman"/>
          <w:b/>
          <w:color w:val="000000"/>
          <w:u w:val="single"/>
        </w:rPr>
        <w:br w:type="page"/>
      </w:r>
      <w:r w:rsidR="00FF1EB0" w:rsidRPr="004613DC">
        <w:rPr>
          <w:rFonts w:cs="Times New Roman"/>
          <w:b/>
          <w:color w:val="000000"/>
          <w:u w:val="single"/>
        </w:rPr>
        <w:t>RTF Member Support &amp; Administration and RTF Management</w:t>
      </w:r>
      <w:r w:rsidR="00326D04">
        <w:rPr>
          <w:rFonts w:cs="Times New Roman"/>
          <w:b/>
          <w:color w:val="000000"/>
          <w:u w:val="single"/>
        </w:rPr>
        <w:t xml:space="preserve"> ($</w:t>
      </w:r>
      <w:r w:rsidR="00E87DCD">
        <w:rPr>
          <w:rFonts w:cs="Times New Roman"/>
          <w:b/>
          <w:color w:val="000000"/>
          <w:u w:val="single"/>
        </w:rPr>
        <w:t>410</w:t>
      </w:r>
      <w:r w:rsidR="004613DC">
        <w:rPr>
          <w:rFonts w:cs="Times New Roman"/>
          <w:b/>
          <w:color w:val="000000"/>
          <w:u w:val="single"/>
        </w:rPr>
        <w:t>,000)</w:t>
      </w:r>
    </w:p>
    <w:p w:rsidR="00CA2605"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Support and administrativ</w:t>
      </w:r>
      <w:r w:rsidR="00E47ADE">
        <w:rPr>
          <w:rFonts w:ascii="Times New Roman" w:hAnsi="Times New Roman" w:cs="Times New Roman"/>
          <w:color w:val="000000"/>
        </w:rPr>
        <w:t xml:space="preserve">e activities identified for </w:t>
      </w:r>
      <w:r w:rsidR="00687786">
        <w:rPr>
          <w:rFonts w:ascii="Times New Roman" w:hAnsi="Times New Roman" w:cs="Times New Roman"/>
          <w:color w:val="000000"/>
        </w:rPr>
        <w:t>2014</w:t>
      </w:r>
      <w:r>
        <w:rPr>
          <w:rFonts w:ascii="Times New Roman" w:hAnsi="Times New Roman" w:cs="Times New Roman"/>
          <w:color w:val="000000"/>
        </w:rPr>
        <w:t xml:space="preserve"> include RTF member support, contract management, and </w:t>
      </w:r>
      <w:r w:rsidR="00BC02E5">
        <w:rPr>
          <w:rFonts w:ascii="Times New Roman" w:hAnsi="Times New Roman" w:cs="Times New Roman"/>
          <w:color w:val="000000"/>
        </w:rPr>
        <w:t xml:space="preserve">general </w:t>
      </w:r>
      <w:r>
        <w:rPr>
          <w:rFonts w:ascii="Times New Roman" w:hAnsi="Times New Roman" w:cs="Times New Roman"/>
          <w:color w:val="000000"/>
        </w:rPr>
        <w:t>meeting costs</w:t>
      </w:r>
      <w:r w:rsidR="0096697E">
        <w:rPr>
          <w:rFonts w:ascii="Times New Roman" w:hAnsi="Times New Roman" w:cs="Times New Roman"/>
          <w:color w:val="000000"/>
        </w:rPr>
        <w:t xml:space="preserve">. </w:t>
      </w:r>
      <w:r>
        <w:rPr>
          <w:rFonts w:ascii="Times New Roman" w:hAnsi="Times New Roman" w:cs="Times New Roman"/>
          <w:color w:val="000000"/>
        </w:rPr>
        <w:t>Member support includes compensating RTF members when they are asked to devote significant additional time to RTF work tasks and/or when they would not otherwise be compensated by their employer for participation in RTF work</w:t>
      </w:r>
      <w:r w:rsidR="0096697E">
        <w:rPr>
          <w:rFonts w:ascii="Times New Roman" w:hAnsi="Times New Roman" w:cs="Times New Roman"/>
          <w:color w:val="000000"/>
        </w:rPr>
        <w:t xml:space="preserve">. </w:t>
      </w:r>
      <w:r>
        <w:rPr>
          <w:rFonts w:ascii="Times New Roman" w:hAnsi="Times New Roman" w:cs="Times New Roman"/>
          <w:color w:val="000000"/>
        </w:rPr>
        <w:t>The RTF will require expanded technical capabilities to analyze measures, protocols, and measure specifications</w:t>
      </w:r>
      <w:r w:rsidR="00CA2605">
        <w:rPr>
          <w:rFonts w:ascii="Times New Roman" w:hAnsi="Times New Roman" w:cs="Times New Roman"/>
          <w:color w:val="000000"/>
        </w:rPr>
        <w:t xml:space="preserve"> through RTF contract staff</w:t>
      </w:r>
      <w:r w:rsidR="0096697E">
        <w:rPr>
          <w:rFonts w:ascii="Times New Roman" w:hAnsi="Times New Roman" w:cs="Times New Roman"/>
          <w:color w:val="000000"/>
        </w:rPr>
        <w:t xml:space="preserve">. </w:t>
      </w:r>
      <w:r w:rsidR="00157087">
        <w:rPr>
          <w:rFonts w:ascii="Times New Roman" w:hAnsi="Times New Roman" w:cs="Times New Roman"/>
          <w:color w:val="000000"/>
        </w:rPr>
        <w:t>The category</w:t>
      </w:r>
      <w:r w:rsidR="00CA2605">
        <w:rPr>
          <w:rFonts w:ascii="Times New Roman" w:hAnsi="Times New Roman" w:cs="Times New Roman"/>
          <w:color w:val="000000"/>
        </w:rPr>
        <w:t xml:space="preserve"> also </w:t>
      </w:r>
      <w:r w:rsidR="00FF1EB0">
        <w:rPr>
          <w:rFonts w:ascii="Times New Roman" w:hAnsi="Times New Roman" w:cs="Times New Roman"/>
          <w:color w:val="000000"/>
        </w:rPr>
        <w:t>include</w:t>
      </w:r>
      <w:r w:rsidR="00CA2605">
        <w:rPr>
          <w:rFonts w:ascii="Times New Roman" w:hAnsi="Times New Roman" w:cs="Times New Roman"/>
          <w:color w:val="000000"/>
        </w:rPr>
        <w:t>s</w:t>
      </w:r>
      <w:r w:rsidR="00FF1EB0">
        <w:rPr>
          <w:rFonts w:ascii="Times New Roman" w:hAnsi="Times New Roman" w:cs="Times New Roman"/>
          <w:color w:val="000000"/>
        </w:rPr>
        <w:t xml:space="preserve"> RTF </w:t>
      </w:r>
      <w:r w:rsidR="00CA2605">
        <w:rPr>
          <w:rFonts w:ascii="Times New Roman" w:hAnsi="Times New Roman" w:cs="Times New Roman"/>
          <w:color w:val="000000"/>
        </w:rPr>
        <w:t xml:space="preserve">contract </w:t>
      </w:r>
      <w:r w:rsidR="00FF1EB0">
        <w:rPr>
          <w:rFonts w:ascii="Times New Roman" w:hAnsi="Times New Roman" w:cs="Times New Roman"/>
          <w:color w:val="000000"/>
        </w:rPr>
        <w:t xml:space="preserve">staffing to develop agendas, schedule </w:t>
      </w:r>
      <w:r w:rsidR="00B82091">
        <w:rPr>
          <w:rFonts w:ascii="Times New Roman" w:hAnsi="Times New Roman" w:cs="Times New Roman"/>
          <w:color w:val="000000"/>
        </w:rPr>
        <w:t xml:space="preserve">and manage </w:t>
      </w:r>
      <w:r w:rsidR="00FF1EB0">
        <w:rPr>
          <w:rFonts w:ascii="Times New Roman" w:hAnsi="Times New Roman" w:cs="Times New Roman"/>
          <w:color w:val="000000"/>
        </w:rPr>
        <w:t>RTF work flow, and refine procedures</w:t>
      </w:r>
      <w:r w:rsidR="0096697E">
        <w:rPr>
          <w:rFonts w:ascii="Times New Roman" w:hAnsi="Times New Roman" w:cs="Times New Roman"/>
          <w:color w:val="000000"/>
        </w:rPr>
        <w:t xml:space="preserve">. </w:t>
      </w:r>
      <w:r w:rsidR="0085158E">
        <w:rPr>
          <w:rFonts w:ascii="Times New Roman" w:hAnsi="Times New Roman" w:cs="Times New Roman"/>
          <w:color w:val="000000"/>
        </w:rPr>
        <w:t xml:space="preserve">Approximately </w:t>
      </w:r>
      <w:r w:rsidR="00800E21">
        <w:rPr>
          <w:rFonts w:ascii="Times New Roman" w:hAnsi="Times New Roman" w:cs="Times New Roman"/>
          <w:color w:val="000000"/>
        </w:rPr>
        <w:t>$196</w:t>
      </w:r>
      <w:r w:rsidR="00AC6BF7" w:rsidRPr="00AC6BF7">
        <w:rPr>
          <w:rFonts w:ascii="Times New Roman" w:hAnsi="Times New Roman" w:cs="Times New Roman"/>
          <w:color w:val="000000"/>
        </w:rPr>
        <w:t xml:space="preserve">,000 </w:t>
      </w:r>
      <w:r w:rsidR="00D33648">
        <w:rPr>
          <w:rFonts w:ascii="Times New Roman" w:hAnsi="Times New Roman" w:cs="Times New Roman"/>
          <w:color w:val="000000"/>
        </w:rPr>
        <w:t xml:space="preserve">of </w:t>
      </w:r>
      <w:r w:rsidR="00AC6BF7" w:rsidRPr="00AC6BF7">
        <w:rPr>
          <w:rFonts w:ascii="Times New Roman" w:hAnsi="Times New Roman" w:cs="Times New Roman"/>
          <w:color w:val="000000"/>
        </w:rPr>
        <w:t>RTF contract staff</w:t>
      </w:r>
      <w:r w:rsidR="00E47ADE">
        <w:rPr>
          <w:rFonts w:ascii="Times New Roman" w:hAnsi="Times New Roman" w:cs="Times New Roman"/>
          <w:color w:val="000000"/>
        </w:rPr>
        <w:t xml:space="preserve"> work is </w:t>
      </w:r>
      <w:r w:rsidR="00D33648">
        <w:rPr>
          <w:rFonts w:ascii="Times New Roman" w:hAnsi="Times New Roman" w:cs="Times New Roman"/>
          <w:color w:val="000000"/>
        </w:rPr>
        <w:t xml:space="preserve">assigned to </w:t>
      </w:r>
      <w:r w:rsidR="00E47ADE">
        <w:rPr>
          <w:rFonts w:ascii="Times New Roman" w:hAnsi="Times New Roman" w:cs="Times New Roman"/>
          <w:color w:val="000000"/>
        </w:rPr>
        <w:t xml:space="preserve">this </w:t>
      </w:r>
      <w:r w:rsidR="00D17C0F">
        <w:rPr>
          <w:rFonts w:ascii="Times New Roman" w:hAnsi="Times New Roman" w:cs="Times New Roman"/>
          <w:color w:val="000000"/>
        </w:rPr>
        <w:t>sub-</w:t>
      </w:r>
      <w:r w:rsidR="00E47ADE">
        <w:rPr>
          <w:rFonts w:ascii="Times New Roman" w:hAnsi="Times New Roman" w:cs="Times New Roman"/>
          <w:color w:val="000000"/>
        </w:rPr>
        <w:t>category.</w:t>
      </w:r>
    </w:p>
    <w:p w:rsidR="00CA2605" w:rsidRDefault="00CA2605"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Default="00B82091"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In addition,</w:t>
      </w:r>
      <w:r w:rsidR="00FF1EB0">
        <w:rPr>
          <w:rFonts w:ascii="Times New Roman" w:hAnsi="Times New Roman" w:cs="Times New Roman"/>
          <w:color w:val="000000"/>
        </w:rPr>
        <w:t xml:space="preserve"> there is another </w:t>
      </w:r>
      <w:r w:rsidR="00E47ADE">
        <w:rPr>
          <w:rFonts w:ascii="Times New Roman" w:hAnsi="Times New Roman" w:cs="Times New Roman"/>
          <w:color w:val="000000"/>
        </w:rPr>
        <w:t>$11</w:t>
      </w:r>
      <w:r w:rsidR="00800E21">
        <w:rPr>
          <w:rFonts w:ascii="Times New Roman" w:hAnsi="Times New Roman" w:cs="Times New Roman"/>
          <w:color w:val="000000"/>
        </w:rPr>
        <w:t>2</w:t>
      </w:r>
      <w:r w:rsidR="00254499">
        <w:rPr>
          <w:rFonts w:ascii="Times New Roman" w:hAnsi="Times New Roman" w:cs="Times New Roman"/>
          <w:color w:val="000000"/>
        </w:rPr>
        <w:t>,000</w:t>
      </w:r>
      <w:r w:rsidR="00AC6BF7" w:rsidRPr="00AC6BF7">
        <w:rPr>
          <w:rFonts w:ascii="Times New Roman" w:hAnsi="Times New Roman" w:cs="Times New Roman"/>
          <w:color w:val="000000"/>
        </w:rPr>
        <w:t xml:space="preserve"> of Council administrative staff work</w:t>
      </w:r>
      <w:r w:rsidR="00FF1EB0">
        <w:rPr>
          <w:rFonts w:ascii="Times New Roman" w:hAnsi="Times New Roman" w:cs="Times New Roman"/>
          <w:color w:val="000000"/>
        </w:rPr>
        <w:t xml:space="preserve"> </w:t>
      </w:r>
      <w:r w:rsidR="00D17C0F">
        <w:rPr>
          <w:rFonts w:ascii="Times New Roman" w:hAnsi="Times New Roman" w:cs="Times New Roman"/>
          <w:color w:val="000000"/>
        </w:rPr>
        <w:t xml:space="preserve">required </w:t>
      </w:r>
      <w:r w:rsidR="00FF1EB0">
        <w:rPr>
          <w:rFonts w:ascii="Times New Roman" w:hAnsi="Times New Roman" w:cs="Times New Roman"/>
          <w:color w:val="000000"/>
        </w:rPr>
        <w:t xml:space="preserve">to support contracts, billing, web site development, </w:t>
      </w:r>
      <w:r w:rsidR="00CA2605">
        <w:rPr>
          <w:rFonts w:ascii="Times New Roman" w:hAnsi="Times New Roman" w:cs="Times New Roman"/>
          <w:color w:val="000000"/>
        </w:rPr>
        <w:t xml:space="preserve">annual conservation tracking report, data warehousing, </w:t>
      </w:r>
      <w:r w:rsidR="00FF1EB0">
        <w:rPr>
          <w:rFonts w:ascii="Times New Roman" w:hAnsi="Times New Roman" w:cs="Times New Roman"/>
          <w:color w:val="000000"/>
        </w:rPr>
        <w:t>meeting</w:t>
      </w:r>
      <w:r w:rsidR="00CA2605">
        <w:rPr>
          <w:rFonts w:ascii="Times New Roman" w:hAnsi="Times New Roman" w:cs="Times New Roman"/>
          <w:color w:val="000000"/>
        </w:rPr>
        <w:t xml:space="preserve"> costs</w:t>
      </w:r>
      <w:r w:rsidR="00FF1EB0">
        <w:rPr>
          <w:rFonts w:ascii="Times New Roman" w:hAnsi="Times New Roman" w:cs="Times New Roman"/>
          <w:color w:val="000000"/>
        </w:rPr>
        <w:t xml:space="preserve">, </w:t>
      </w:r>
      <w:r w:rsidR="00CA2605">
        <w:rPr>
          <w:rFonts w:ascii="Times New Roman" w:hAnsi="Times New Roman" w:cs="Times New Roman"/>
          <w:color w:val="000000"/>
        </w:rPr>
        <w:t xml:space="preserve">web conference, </w:t>
      </w:r>
      <w:r w:rsidR="00FF1EB0">
        <w:rPr>
          <w:rFonts w:ascii="Times New Roman" w:hAnsi="Times New Roman" w:cs="Times New Roman"/>
          <w:color w:val="000000"/>
        </w:rPr>
        <w:t>scheduling and other business functions that are best retained at the Council</w:t>
      </w:r>
      <w:r w:rsidR="0096697E">
        <w:rPr>
          <w:rFonts w:ascii="Times New Roman" w:hAnsi="Times New Roman" w:cs="Times New Roman"/>
          <w:color w:val="000000"/>
        </w:rPr>
        <w:t xml:space="preserve">. </w:t>
      </w:r>
      <w:r>
        <w:rPr>
          <w:rFonts w:ascii="Times New Roman" w:hAnsi="Times New Roman" w:cs="Times New Roman"/>
          <w:color w:val="000000"/>
        </w:rPr>
        <w:t>These are treated as in-kind contributions from the Council and are n</w:t>
      </w:r>
      <w:r w:rsidR="00E47ADE">
        <w:rPr>
          <w:rFonts w:ascii="Times New Roman" w:hAnsi="Times New Roman" w:cs="Times New Roman"/>
          <w:color w:val="000000"/>
        </w:rPr>
        <w:t xml:space="preserve">ot included in the </w:t>
      </w:r>
      <w:r w:rsidR="00687786">
        <w:rPr>
          <w:rFonts w:ascii="Times New Roman" w:hAnsi="Times New Roman" w:cs="Times New Roman"/>
          <w:color w:val="000000"/>
        </w:rPr>
        <w:t>2014</w:t>
      </w:r>
      <w:r>
        <w:rPr>
          <w:rFonts w:ascii="Times New Roman" w:hAnsi="Times New Roman" w:cs="Times New Roman"/>
          <w:color w:val="000000"/>
        </w:rPr>
        <w:t xml:space="preserve"> budget of $1.</w:t>
      </w:r>
      <w:r w:rsidR="00800E21">
        <w:rPr>
          <w:rFonts w:ascii="Times New Roman" w:hAnsi="Times New Roman" w:cs="Times New Roman"/>
          <w:color w:val="000000"/>
        </w:rPr>
        <w:t>473</w:t>
      </w:r>
      <w:r>
        <w:rPr>
          <w:rFonts w:ascii="Times New Roman" w:hAnsi="Times New Roman" w:cs="Times New Roman"/>
          <w:color w:val="000000"/>
        </w:rPr>
        <w:t xml:space="preserve"> million</w:t>
      </w:r>
      <w:r w:rsidR="0096697E">
        <w:rPr>
          <w:rFonts w:ascii="Times New Roman" w:hAnsi="Times New Roman" w:cs="Times New Roman"/>
          <w:color w:val="000000"/>
        </w:rPr>
        <w:t xml:space="preserve">. </w:t>
      </w:r>
      <w:r w:rsidR="00F44B10">
        <w:rPr>
          <w:rFonts w:ascii="Times New Roman" w:hAnsi="Times New Roman" w:cs="Times New Roman"/>
          <w:color w:val="000000"/>
        </w:rPr>
        <w:t xml:space="preserve">Over </w:t>
      </w:r>
      <w:r w:rsidR="001F6D4E">
        <w:rPr>
          <w:rFonts w:ascii="Times New Roman" w:hAnsi="Times New Roman" w:cs="Times New Roman"/>
          <w:color w:val="000000"/>
        </w:rPr>
        <w:t xml:space="preserve">the </w:t>
      </w:r>
      <w:r w:rsidR="00F44B10">
        <w:rPr>
          <w:rFonts w:ascii="Times New Roman" w:hAnsi="Times New Roman" w:cs="Times New Roman"/>
          <w:color w:val="000000"/>
        </w:rPr>
        <w:t>next three years</w:t>
      </w:r>
      <w:r w:rsidR="001F6D4E">
        <w:rPr>
          <w:rFonts w:ascii="Times New Roman" w:hAnsi="Times New Roman" w:cs="Times New Roman"/>
          <w:color w:val="000000"/>
        </w:rPr>
        <w:t>, the RTF plans to expand its use of contract staff to further relieve Council staff.</w:t>
      </w:r>
    </w:p>
    <w:p w:rsidR="00E55E95" w:rsidRDefault="00E55E95"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Pr="009A317E" w:rsidRDefault="002E1060"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r w:rsidRPr="009A317E">
        <w:rPr>
          <w:rFonts w:cs="Times New Roman"/>
          <w:b/>
          <w:bCs/>
          <w:color w:val="000000"/>
          <w:sz w:val="26"/>
          <w:szCs w:val="26"/>
        </w:rPr>
        <w:t>Organization and Staffing</w:t>
      </w:r>
    </w:p>
    <w:p w:rsidR="002178AB" w:rsidRPr="009A317E" w:rsidRDefault="002178AB"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rPr>
      </w:pPr>
    </w:p>
    <w:p w:rsidR="0096697E" w:rsidRDefault="005F6094" w:rsidP="009A31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9A317E">
        <w:rPr>
          <w:rFonts w:ascii="Times New Roman" w:hAnsi="Times New Roman" w:cs="Times New Roman"/>
          <w:color w:val="000000"/>
        </w:rPr>
        <w:t xml:space="preserve">The full RTF meets </w:t>
      </w:r>
      <w:r w:rsidR="009A317E">
        <w:rPr>
          <w:rFonts w:ascii="Times New Roman" w:hAnsi="Times New Roman" w:cs="Times New Roman"/>
          <w:color w:val="000000"/>
        </w:rPr>
        <w:t xml:space="preserve">at least once a month </w:t>
      </w:r>
      <w:r w:rsidRPr="009A317E">
        <w:rPr>
          <w:rFonts w:ascii="Times New Roman" w:hAnsi="Times New Roman" w:cs="Times New Roman"/>
          <w:color w:val="000000"/>
        </w:rPr>
        <w:t xml:space="preserve">for an all-day meeting. </w:t>
      </w:r>
      <w:r w:rsidR="009A317E" w:rsidRPr="009A317E">
        <w:rPr>
          <w:rFonts w:ascii="Times New Roman" w:hAnsi="Times New Roman" w:cs="Times New Roman"/>
          <w:color w:val="000000"/>
        </w:rPr>
        <w:t xml:space="preserve">In </w:t>
      </w:r>
      <w:r w:rsidR="00687786">
        <w:rPr>
          <w:rFonts w:ascii="Times New Roman" w:hAnsi="Times New Roman" w:cs="Times New Roman"/>
          <w:color w:val="000000"/>
        </w:rPr>
        <w:t>2013</w:t>
      </w:r>
      <w:r w:rsidR="009A317E" w:rsidRPr="009A317E">
        <w:rPr>
          <w:rFonts w:ascii="Times New Roman" w:hAnsi="Times New Roman" w:cs="Times New Roman"/>
          <w:color w:val="000000"/>
        </w:rPr>
        <w:t xml:space="preserve">, the RTF held a meeting each month, including </w:t>
      </w:r>
      <w:r w:rsidR="00C22D74">
        <w:rPr>
          <w:rFonts w:ascii="Times New Roman" w:hAnsi="Times New Roman" w:cs="Times New Roman"/>
          <w:color w:val="000000"/>
        </w:rPr>
        <w:t>a 2-day meeting in October</w:t>
      </w:r>
      <w:r w:rsidR="009A317E" w:rsidRPr="009A317E">
        <w:rPr>
          <w:rFonts w:ascii="Times New Roman" w:hAnsi="Times New Roman" w:cs="Times New Roman"/>
          <w:color w:val="000000"/>
        </w:rPr>
        <w:t xml:space="preserve"> to move through a large number of agenda items</w:t>
      </w:r>
      <w:r w:rsidR="009A317E">
        <w:rPr>
          <w:rFonts w:ascii="Times New Roman" w:hAnsi="Times New Roman" w:cs="Times New Roman"/>
          <w:color w:val="000000"/>
        </w:rPr>
        <w:t xml:space="preserve"> and deliverables from its </w:t>
      </w:r>
      <w:r w:rsidR="00687786">
        <w:rPr>
          <w:rFonts w:ascii="Times New Roman" w:hAnsi="Times New Roman" w:cs="Times New Roman"/>
          <w:color w:val="000000"/>
        </w:rPr>
        <w:t>2013</w:t>
      </w:r>
      <w:r w:rsidR="009A317E">
        <w:rPr>
          <w:rFonts w:ascii="Times New Roman" w:hAnsi="Times New Roman" w:cs="Times New Roman"/>
          <w:color w:val="000000"/>
        </w:rPr>
        <w:t xml:space="preserve"> work plan</w:t>
      </w:r>
      <w:r w:rsidR="0096697E">
        <w:rPr>
          <w:rFonts w:ascii="Times New Roman" w:hAnsi="Times New Roman" w:cs="Times New Roman"/>
          <w:color w:val="000000"/>
        </w:rPr>
        <w:t xml:space="preserve">. </w:t>
      </w:r>
      <w:r w:rsidR="009A317E" w:rsidRPr="009A317E">
        <w:rPr>
          <w:rFonts w:ascii="Times New Roman" w:hAnsi="Times New Roman" w:cs="Times New Roman"/>
          <w:color w:val="000000"/>
        </w:rPr>
        <w:t xml:space="preserve">As </w:t>
      </w:r>
      <w:r w:rsidR="00A67D31">
        <w:rPr>
          <w:rFonts w:ascii="Times New Roman" w:hAnsi="Times New Roman" w:cs="Times New Roman"/>
          <w:color w:val="000000"/>
        </w:rPr>
        <w:t>regional demand for its products and services increase, the RTF</w:t>
      </w:r>
      <w:r w:rsidR="009A317E" w:rsidRPr="009A317E">
        <w:rPr>
          <w:rFonts w:ascii="Times New Roman" w:hAnsi="Times New Roman" w:cs="Times New Roman"/>
          <w:color w:val="000000"/>
        </w:rPr>
        <w:t xml:space="preserve"> </w:t>
      </w:r>
      <w:r w:rsidR="00C22D74">
        <w:rPr>
          <w:rFonts w:ascii="Times New Roman" w:hAnsi="Times New Roman" w:cs="Times New Roman"/>
          <w:color w:val="000000"/>
        </w:rPr>
        <w:t xml:space="preserve">is constantly looking for </w:t>
      </w:r>
      <w:r w:rsidR="009A317E" w:rsidRPr="009A317E">
        <w:rPr>
          <w:rFonts w:ascii="Times New Roman" w:hAnsi="Times New Roman" w:cs="Times New Roman"/>
          <w:color w:val="000000"/>
        </w:rPr>
        <w:t>ways to improve its operational efficiency and lessen the burden it places on its volunteer members</w:t>
      </w:r>
      <w:r w:rsidR="0096697E">
        <w:rPr>
          <w:rFonts w:ascii="Times New Roman" w:hAnsi="Times New Roman" w:cs="Times New Roman"/>
          <w:color w:val="000000"/>
        </w:rPr>
        <w:t>.</w:t>
      </w:r>
    </w:p>
    <w:p w:rsidR="009A317E" w:rsidRDefault="009A317E" w:rsidP="009A31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highlight w:val="yellow"/>
        </w:rPr>
      </w:pPr>
    </w:p>
    <w:p w:rsidR="0096697E" w:rsidRDefault="00C22D74" w:rsidP="009A31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In prior years, the </w:t>
      </w:r>
      <w:r w:rsidR="009A317E" w:rsidRPr="009A317E">
        <w:rPr>
          <w:rFonts w:ascii="Times New Roman" w:hAnsi="Times New Roman" w:cs="Times New Roman"/>
          <w:color w:val="000000"/>
        </w:rPr>
        <w:t xml:space="preserve">work plan </w:t>
      </w:r>
      <w:r w:rsidR="00615826">
        <w:rPr>
          <w:rFonts w:ascii="Times New Roman" w:hAnsi="Times New Roman" w:cs="Times New Roman"/>
          <w:color w:val="000000"/>
        </w:rPr>
        <w:t>was constructed to bid out the majority of technical analyses</w:t>
      </w:r>
      <w:r w:rsidR="0010266B">
        <w:rPr>
          <w:rFonts w:ascii="Times New Roman" w:hAnsi="Times New Roman" w:cs="Times New Roman"/>
          <w:color w:val="000000"/>
        </w:rPr>
        <w:t xml:space="preserve"> and research projects</w:t>
      </w:r>
      <w:r w:rsidR="00615826">
        <w:rPr>
          <w:rFonts w:ascii="Times New Roman" w:hAnsi="Times New Roman" w:cs="Times New Roman"/>
          <w:color w:val="000000"/>
        </w:rPr>
        <w:t xml:space="preserve"> to </w:t>
      </w:r>
      <w:r w:rsidR="009A317E" w:rsidRPr="009A317E">
        <w:rPr>
          <w:rFonts w:ascii="Times New Roman" w:hAnsi="Times New Roman" w:cs="Times New Roman"/>
          <w:color w:val="000000"/>
        </w:rPr>
        <w:t>third</w:t>
      </w:r>
      <w:r w:rsidR="00A67D31">
        <w:rPr>
          <w:rFonts w:ascii="Times New Roman" w:hAnsi="Times New Roman" w:cs="Times New Roman"/>
          <w:color w:val="000000"/>
        </w:rPr>
        <w:t>-</w:t>
      </w:r>
      <w:r w:rsidR="009A317E" w:rsidRPr="009A317E">
        <w:rPr>
          <w:rFonts w:ascii="Times New Roman" w:hAnsi="Times New Roman" w:cs="Times New Roman"/>
          <w:color w:val="000000"/>
        </w:rPr>
        <w:t xml:space="preserve">party contractors to </w:t>
      </w:r>
      <w:r w:rsidR="001408F5">
        <w:rPr>
          <w:rFonts w:ascii="Times New Roman" w:hAnsi="Times New Roman" w:cs="Times New Roman"/>
          <w:color w:val="000000"/>
        </w:rPr>
        <w:t>develop</w:t>
      </w:r>
      <w:r w:rsidR="009A317E" w:rsidRPr="009A317E">
        <w:rPr>
          <w:rFonts w:ascii="Times New Roman" w:hAnsi="Times New Roman" w:cs="Times New Roman"/>
          <w:color w:val="000000"/>
        </w:rPr>
        <w:t xml:space="preserve"> work products</w:t>
      </w:r>
      <w:r w:rsidR="0010266B">
        <w:rPr>
          <w:rFonts w:ascii="Times New Roman" w:hAnsi="Times New Roman" w:cs="Times New Roman"/>
          <w:color w:val="000000"/>
        </w:rPr>
        <w:t xml:space="preserve"> and lead subcommittee discussions</w:t>
      </w:r>
      <w:r w:rsidR="0096697E">
        <w:rPr>
          <w:rFonts w:ascii="Times New Roman" w:hAnsi="Times New Roman" w:cs="Times New Roman"/>
          <w:color w:val="000000"/>
        </w:rPr>
        <w:t xml:space="preserve">. </w:t>
      </w:r>
      <w:r>
        <w:rPr>
          <w:rFonts w:ascii="Times New Roman" w:hAnsi="Times New Roman" w:cs="Times New Roman"/>
          <w:color w:val="000000"/>
        </w:rPr>
        <w:t xml:space="preserve">Under that </w:t>
      </w:r>
      <w:r w:rsidR="00615826">
        <w:rPr>
          <w:rFonts w:ascii="Times New Roman" w:hAnsi="Times New Roman" w:cs="Times New Roman"/>
          <w:color w:val="000000"/>
        </w:rPr>
        <w:t>model, s</w:t>
      </w:r>
      <w:r w:rsidR="009A317E" w:rsidRPr="009A317E">
        <w:rPr>
          <w:rFonts w:ascii="Times New Roman" w:hAnsi="Times New Roman" w:cs="Times New Roman"/>
          <w:color w:val="000000"/>
        </w:rPr>
        <w:t xml:space="preserve">taff </w:t>
      </w:r>
      <w:r w:rsidR="00A67D31">
        <w:rPr>
          <w:rFonts w:ascii="Times New Roman" w:hAnsi="Times New Roman" w:cs="Times New Roman"/>
          <w:color w:val="000000"/>
        </w:rPr>
        <w:t xml:space="preserve">focused </w:t>
      </w:r>
      <w:r w:rsidR="0010266B">
        <w:rPr>
          <w:rFonts w:ascii="Times New Roman" w:hAnsi="Times New Roman" w:cs="Times New Roman"/>
          <w:color w:val="000000"/>
        </w:rPr>
        <w:t xml:space="preserve">primarily </w:t>
      </w:r>
      <w:r w:rsidR="00A67D31">
        <w:rPr>
          <w:rFonts w:ascii="Times New Roman" w:hAnsi="Times New Roman" w:cs="Times New Roman"/>
          <w:color w:val="000000"/>
        </w:rPr>
        <w:t xml:space="preserve">on developing contract scope, </w:t>
      </w:r>
      <w:r w:rsidR="00615826">
        <w:rPr>
          <w:rFonts w:ascii="Times New Roman" w:hAnsi="Times New Roman" w:cs="Times New Roman"/>
          <w:color w:val="000000"/>
        </w:rPr>
        <w:t xml:space="preserve">managing </w:t>
      </w:r>
      <w:r w:rsidR="00A67D31">
        <w:rPr>
          <w:rFonts w:ascii="Times New Roman" w:hAnsi="Times New Roman" w:cs="Times New Roman"/>
          <w:color w:val="000000"/>
        </w:rPr>
        <w:t>contractors</w:t>
      </w:r>
      <w:r w:rsidR="00615826">
        <w:rPr>
          <w:rFonts w:ascii="Times New Roman" w:hAnsi="Times New Roman" w:cs="Times New Roman"/>
          <w:color w:val="000000"/>
        </w:rPr>
        <w:t>,</w:t>
      </w:r>
      <w:r w:rsidR="00A67D31">
        <w:rPr>
          <w:rFonts w:ascii="Times New Roman" w:hAnsi="Times New Roman" w:cs="Times New Roman"/>
          <w:color w:val="000000"/>
        </w:rPr>
        <w:t xml:space="preserve"> and </w:t>
      </w:r>
      <w:r w:rsidR="00615826">
        <w:rPr>
          <w:rFonts w:ascii="Times New Roman" w:hAnsi="Times New Roman" w:cs="Times New Roman"/>
          <w:color w:val="000000"/>
        </w:rPr>
        <w:t xml:space="preserve">reviewing </w:t>
      </w:r>
      <w:r w:rsidR="009A317E" w:rsidRPr="009A317E">
        <w:rPr>
          <w:rFonts w:ascii="Times New Roman" w:hAnsi="Times New Roman" w:cs="Times New Roman"/>
          <w:color w:val="000000"/>
        </w:rPr>
        <w:t>deliverables</w:t>
      </w:r>
      <w:r w:rsidR="0096697E">
        <w:rPr>
          <w:rFonts w:ascii="Times New Roman" w:hAnsi="Times New Roman" w:cs="Times New Roman"/>
          <w:color w:val="000000"/>
        </w:rPr>
        <w:t xml:space="preserve">. </w:t>
      </w:r>
      <w:r w:rsidR="00761E2C">
        <w:rPr>
          <w:rFonts w:ascii="Times New Roman" w:hAnsi="Times New Roman" w:cs="Times New Roman"/>
          <w:color w:val="000000"/>
        </w:rPr>
        <w:t xml:space="preserve">This </w:t>
      </w:r>
      <w:r w:rsidR="00615826">
        <w:rPr>
          <w:rFonts w:ascii="Times New Roman" w:hAnsi="Times New Roman" w:cs="Times New Roman"/>
          <w:color w:val="000000"/>
        </w:rPr>
        <w:t xml:space="preserve">level of contract </w:t>
      </w:r>
      <w:r w:rsidR="00761E2C">
        <w:rPr>
          <w:rFonts w:ascii="Times New Roman" w:hAnsi="Times New Roman" w:cs="Times New Roman"/>
          <w:color w:val="000000"/>
        </w:rPr>
        <w:t>management included considerable technical assistance to contractors</w:t>
      </w:r>
      <w:r w:rsidR="00615826">
        <w:rPr>
          <w:rFonts w:ascii="Times New Roman" w:hAnsi="Times New Roman" w:cs="Times New Roman"/>
          <w:color w:val="000000"/>
        </w:rPr>
        <w:t xml:space="preserve"> and extensive review of work products to </w:t>
      </w:r>
      <w:r w:rsidR="0010266B">
        <w:rPr>
          <w:rFonts w:ascii="Times New Roman" w:hAnsi="Times New Roman" w:cs="Times New Roman"/>
          <w:color w:val="000000"/>
        </w:rPr>
        <w:t xml:space="preserve">ensure consistency with </w:t>
      </w:r>
      <w:r w:rsidR="00615826">
        <w:rPr>
          <w:rFonts w:ascii="Times New Roman" w:hAnsi="Times New Roman" w:cs="Times New Roman"/>
          <w:color w:val="000000"/>
        </w:rPr>
        <w:t>RTF standards</w:t>
      </w:r>
      <w:r w:rsidR="0096697E">
        <w:rPr>
          <w:rFonts w:ascii="Times New Roman" w:hAnsi="Times New Roman" w:cs="Times New Roman"/>
          <w:color w:val="000000"/>
        </w:rPr>
        <w:t xml:space="preserve">. </w:t>
      </w:r>
      <w:r w:rsidR="009A317E" w:rsidRPr="009A317E">
        <w:rPr>
          <w:rFonts w:ascii="Times New Roman" w:hAnsi="Times New Roman" w:cs="Times New Roman"/>
          <w:color w:val="000000"/>
        </w:rPr>
        <w:t xml:space="preserve">For </w:t>
      </w:r>
      <w:r>
        <w:rPr>
          <w:rFonts w:ascii="Times New Roman" w:hAnsi="Times New Roman" w:cs="Times New Roman"/>
          <w:color w:val="000000"/>
        </w:rPr>
        <w:t>2013</w:t>
      </w:r>
      <w:r w:rsidR="009A317E" w:rsidRPr="009A317E">
        <w:rPr>
          <w:rFonts w:ascii="Times New Roman" w:hAnsi="Times New Roman" w:cs="Times New Roman"/>
          <w:color w:val="000000"/>
        </w:rPr>
        <w:t>, the RTF shift</w:t>
      </w:r>
      <w:r>
        <w:rPr>
          <w:rFonts w:ascii="Times New Roman" w:hAnsi="Times New Roman" w:cs="Times New Roman"/>
          <w:color w:val="000000"/>
        </w:rPr>
        <w:t>ed</w:t>
      </w:r>
      <w:r w:rsidR="009A317E" w:rsidRPr="009A317E">
        <w:rPr>
          <w:rFonts w:ascii="Times New Roman" w:hAnsi="Times New Roman" w:cs="Times New Roman"/>
          <w:color w:val="000000"/>
        </w:rPr>
        <w:t xml:space="preserve"> the majority of its technical </w:t>
      </w:r>
      <w:r w:rsidR="00761E2C">
        <w:rPr>
          <w:rFonts w:ascii="Times New Roman" w:hAnsi="Times New Roman" w:cs="Times New Roman"/>
          <w:color w:val="000000"/>
        </w:rPr>
        <w:t>analysis</w:t>
      </w:r>
      <w:r w:rsidR="009A317E" w:rsidRPr="009A317E">
        <w:rPr>
          <w:rFonts w:ascii="Times New Roman" w:hAnsi="Times New Roman" w:cs="Times New Roman"/>
          <w:color w:val="000000"/>
        </w:rPr>
        <w:t xml:space="preserve"> </w:t>
      </w:r>
      <w:r w:rsidR="001408F5">
        <w:rPr>
          <w:rFonts w:ascii="Times New Roman" w:hAnsi="Times New Roman" w:cs="Times New Roman"/>
          <w:color w:val="000000"/>
        </w:rPr>
        <w:t xml:space="preserve">back </w:t>
      </w:r>
      <w:r w:rsidR="009A317E" w:rsidRPr="009A317E">
        <w:rPr>
          <w:rFonts w:ascii="Times New Roman" w:hAnsi="Times New Roman" w:cs="Times New Roman"/>
          <w:color w:val="000000"/>
        </w:rPr>
        <w:t xml:space="preserve">to RTF </w:t>
      </w:r>
      <w:r w:rsidR="00D41987">
        <w:rPr>
          <w:rFonts w:ascii="Times New Roman" w:hAnsi="Times New Roman" w:cs="Times New Roman"/>
          <w:color w:val="000000"/>
        </w:rPr>
        <w:t xml:space="preserve">contract </w:t>
      </w:r>
      <w:r w:rsidR="00A67D31">
        <w:rPr>
          <w:rFonts w:ascii="Times New Roman" w:hAnsi="Times New Roman" w:cs="Times New Roman"/>
          <w:color w:val="000000"/>
        </w:rPr>
        <w:t>s</w:t>
      </w:r>
      <w:r w:rsidR="009A317E" w:rsidRPr="009A317E">
        <w:rPr>
          <w:rFonts w:ascii="Times New Roman" w:hAnsi="Times New Roman" w:cs="Times New Roman"/>
          <w:color w:val="000000"/>
        </w:rPr>
        <w:t>taff</w:t>
      </w:r>
      <w:r w:rsidR="0096697E">
        <w:rPr>
          <w:rFonts w:ascii="Times New Roman" w:hAnsi="Times New Roman" w:cs="Times New Roman"/>
          <w:color w:val="000000"/>
        </w:rPr>
        <w:t xml:space="preserve">. </w:t>
      </w:r>
      <w:r w:rsidR="009A317E" w:rsidRPr="009A317E">
        <w:rPr>
          <w:rFonts w:ascii="Times New Roman" w:hAnsi="Times New Roman" w:cs="Times New Roman"/>
          <w:color w:val="000000"/>
        </w:rPr>
        <w:t xml:space="preserve">The </w:t>
      </w:r>
      <w:r w:rsidR="001408F5">
        <w:rPr>
          <w:rFonts w:ascii="Times New Roman" w:hAnsi="Times New Roman" w:cs="Times New Roman"/>
          <w:color w:val="000000"/>
        </w:rPr>
        <w:t xml:space="preserve">strategy with this shift </w:t>
      </w:r>
      <w:r>
        <w:rPr>
          <w:rFonts w:ascii="Times New Roman" w:hAnsi="Times New Roman" w:cs="Times New Roman"/>
          <w:color w:val="000000"/>
        </w:rPr>
        <w:t xml:space="preserve">was </w:t>
      </w:r>
      <w:r w:rsidR="009A317E" w:rsidRPr="009A317E">
        <w:rPr>
          <w:rFonts w:ascii="Times New Roman" w:hAnsi="Times New Roman" w:cs="Times New Roman"/>
          <w:color w:val="000000"/>
        </w:rPr>
        <w:t>to gain and retain technical knowledge within the RTF</w:t>
      </w:r>
      <w:r w:rsidR="001408F5">
        <w:rPr>
          <w:rFonts w:ascii="Times New Roman" w:hAnsi="Times New Roman" w:cs="Times New Roman"/>
          <w:color w:val="000000"/>
        </w:rPr>
        <w:t xml:space="preserve"> </w:t>
      </w:r>
      <w:r w:rsidR="00761E2C">
        <w:rPr>
          <w:rFonts w:ascii="Times New Roman" w:hAnsi="Times New Roman" w:cs="Times New Roman"/>
          <w:color w:val="000000"/>
        </w:rPr>
        <w:t xml:space="preserve">staff </w:t>
      </w:r>
      <w:r w:rsidR="001408F5">
        <w:rPr>
          <w:rFonts w:ascii="Times New Roman" w:hAnsi="Times New Roman" w:cs="Times New Roman"/>
          <w:color w:val="000000"/>
        </w:rPr>
        <w:t xml:space="preserve">which </w:t>
      </w:r>
      <w:r w:rsidR="009A317E" w:rsidRPr="009A317E">
        <w:rPr>
          <w:rFonts w:ascii="Times New Roman" w:hAnsi="Times New Roman" w:cs="Times New Roman"/>
          <w:color w:val="000000"/>
        </w:rPr>
        <w:t xml:space="preserve">is expected to help with the long-term technical capability of the organization, as well as decrease the overall </w:t>
      </w:r>
      <w:r w:rsidR="001408F5">
        <w:rPr>
          <w:rFonts w:ascii="Times New Roman" w:hAnsi="Times New Roman" w:cs="Times New Roman"/>
          <w:color w:val="000000"/>
        </w:rPr>
        <w:t xml:space="preserve">obligations </w:t>
      </w:r>
      <w:r w:rsidR="009A317E" w:rsidRPr="009A317E">
        <w:rPr>
          <w:rFonts w:ascii="Times New Roman" w:hAnsi="Times New Roman" w:cs="Times New Roman"/>
          <w:color w:val="000000"/>
        </w:rPr>
        <w:t xml:space="preserve">of </w:t>
      </w:r>
      <w:r w:rsidR="001408F5">
        <w:rPr>
          <w:rFonts w:ascii="Times New Roman" w:hAnsi="Times New Roman" w:cs="Times New Roman"/>
          <w:color w:val="000000"/>
        </w:rPr>
        <w:t xml:space="preserve">its </w:t>
      </w:r>
      <w:r w:rsidR="009A317E" w:rsidRPr="009A317E">
        <w:rPr>
          <w:rFonts w:ascii="Times New Roman" w:hAnsi="Times New Roman" w:cs="Times New Roman"/>
          <w:color w:val="000000"/>
        </w:rPr>
        <w:t>volunteer members</w:t>
      </w:r>
      <w:r w:rsidR="0096697E">
        <w:rPr>
          <w:rFonts w:ascii="Times New Roman" w:hAnsi="Times New Roman" w:cs="Times New Roman"/>
          <w:color w:val="000000"/>
        </w:rPr>
        <w:t xml:space="preserve">. </w:t>
      </w:r>
      <w:r w:rsidR="003228E5">
        <w:rPr>
          <w:rFonts w:ascii="Times New Roman" w:hAnsi="Times New Roman" w:cs="Times New Roman"/>
          <w:color w:val="000000"/>
        </w:rPr>
        <w:t>Moreover</w:t>
      </w:r>
      <w:r w:rsidR="00C63D39">
        <w:rPr>
          <w:rFonts w:ascii="Times New Roman" w:hAnsi="Times New Roman" w:cs="Times New Roman"/>
          <w:color w:val="000000"/>
        </w:rPr>
        <w:t>, e</w:t>
      </w:r>
      <w:r w:rsidR="003440D0" w:rsidRPr="009A317E">
        <w:rPr>
          <w:rFonts w:ascii="Times New Roman" w:hAnsi="Times New Roman" w:cs="Times New Roman"/>
          <w:color w:val="000000"/>
        </w:rPr>
        <w:t>ffective subcomm</w:t>
      </w:r>
      <w:r w:rsidR="00C63D39">
        <w:rPr>
          <w:rFonts w:ascii="Times New Roman" w:hAnsi="Times New Roman" w:cs="Times New Roman"/>
          <w:color w:val="000000"/>
        </w:rPr>
        <w:t>ittees are important to allow</w:t>
      </w:r>
      <w:r w:rsidR="003440D0" w:rsidRPr="009A317E">
        <w:rPr>
          <w:rFonts w:ascii="Times New Roman" w:hAnsi="Times New Roman" w:cs="Times New Roman"/>
          <w:color w:val="000000"/>
        </w:rPr>
        <w:t xml:space="preserve"> for increased throughput at one-day RTF meetings</w:t>
      </w:r>
      <w:r w:rsidR="00C63D39">
        <w:rPr>
          <w:rFonts w:ascii="Times New Roman" w:hAnsi="Times New Roman" w:cs="Times New Roman"/>
          <w:color w:val="000000"/>
        </w:rPr>
        <w:t xml:space="preserve"> and s</w:t>
      </w:r>
      <w:r w:rsidR="009A317E" w:rsidRPr="009A317E">
        <w:rPr>
          <w:rFonts w:ascii="Times New Roman" w:hAnsi="Times New Roman" w:cs="Times New Roman"/>
          <w:color w:val="000000"/>
        </w:rPr>
        <w:t xml:space="preserve">taff is typically better equipped to facilitate subcommittee efforts </w:t>
      </w:r>
      <w:r w:rsidR="001408F5">
        <w:rPr>
          <w:rFonts w:ascii="Times New Roman" w:hAnsi="Times New Roman" w:cs="Times New Roman"/>
          <w:color w:val="000000"/>
        </w:rPr>
        <w:t xml:space="preserve">and follow-up </w:t>
      </w:r>
      <w:r w:rsidR="00C63D39">
        <w:rPr>
          <w:rFonts w:ascii="Times New Roman" w:hAnsi="Times New Roman" w:cs="Times New Roman"/>
          <w:color w:val="000000"/>
        </w:rPr>
        <w:t>on action items</w:t>
      </w:r>
      <w:r w:rsidR="001408F5">
        <w:rPr>
          <w:rFonts w:ascii="Times New Roman" w:hAnsi="Times New Roman" w:cs="Times New Roman"/>
          <w:color w:val="000000"/>
        </w:rPr>
        <w:t xml:space="preserve"> </w:t>
      </w:r>
      <w:r w:rsidR="009A317E" w:rsidRPr="009A317E">
        <w:rPr>
          <w:rFonts w:ascii="Times New Roman" w:hAnsi="Times New Roman" w:cs="Times New Roman"/>
          <w:color w:val="000000"/>
        </w:rPr>
        <w:t xml:space="preserve">when </w:t>
      </w:r>
      <w:r w:rsidR="001408F5">
        <w:rPr>
          <w:rFonts w:ascii="Times New Roman" w:hAnsi="Times New Roman" w:cs="Times New Roman"/>
          <w:color w:val="000000"/>
        </w:rPr>
        <w:t xml:space="preserve">they are </w:t>
      </w:r>
      <w:r w:rsidR="009A317E" w:rsidRPr="009A317E">
        <w:rPr>
          <w:rFonts w:ascii="Times New Roman" w:hAnsi="Times New Roman" w:cs="Times New Roman"/>
          <w:color w:val="000000"/>
        </w:rPr>
        <w:t>closer to the analysis</w:t>
      </w:r>
      <w:r w:rsidR="0096697E">
        <w:rPr>
          <w:rFonts w:ascii="Times New Roman" w:hAnsi="Times New Roman" w:cs="Times New Roman"/>
          <w:color w:val="000000"/>
        </w:rPr>
        <w:t>.</w:t>
      </w:r>
    </w:p>
    <w:p w:rsidR="00C63D39" w:rsidRPr="009A317E" w:rsidRDefault="00C63D39" w:rsidP="009A31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A317E" w:rsidRPr="009A317E" w:rsidRDefault="00C22D74" w:rsidP="009A31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Furthermore, i</w:t>
      </w:r>
      <w:r w:rsidR="003228E5">
        <w:rPr>
          <w:rFonts w:ascii="Times New Roman" w:hAnsi="Times New Roman" w:cs="Times New Roman"/>
          <w:color w:val="000000"/>
        </w:rPr>
        <w:t>n an effort</w:t>
      </w:r>
      <w:r w:rsidR="009A317E" w:rsidRPr="009A317E">
        <w:rPr>
          <w:rFonts w:ascii="Times New Roman" w:hAnsi="Times New Roman" w:cs="Times New Roman"/>
          <w:color w:val="000000"/>
        </w:rPr>
        <w:t xml:space="preserve"> to lend credibility to work products developed by RTF staff, the </w:t>
      </w:r>
      <w:r>
        <w:rPr>
          <w:rFonts w:ascii="Times New Roman" w:hAnsi="Times New Roman" w:cs="Times New Roman"/>
          <w:color w:val="000000"/>
        </w:rPr>
        <w:t>2013</w:t>
      </w:r>
      <w:r w:rsidR="009A317E" w:rsidRPr="009A317E">
        <w:rPr>
          <w:rFonts w:ascii="Times New Roman" w:hAnsi="Times New Roman" w:cs="Times New Roman"/>
          <w:color w:val="000000"/>
        </w:rPr>
        <w:t xml:space="preserve"> work plan </w:t>
      </w:r>
      <w:r>
        <w:rPr>
          <w:rFonts w:ascii="Times New Roman" w:hAnsi="Times New Roman" w:cs="Times New Roman"/>
          <w:color w:val="000000"/>
        </w:rPr>
        <w:t>also made</w:t>
      </w:r>
      <w:r w:rsidR="009A317E" w:rsidRPr="009A317E">
        <w:rPr>
          <w:rFonts w:ascii="Times New Roman" w:hAnsi="Times New Roman" w:cs="Times New Roman"/>
          <w:color w:val="000000"/>
        </w:rPr>
        <w:t xml:space="preserve"> provisions to contract out</w:t>
      </w:r>
      <w:r w:rsidR="00761E2C">
        <w:rPr>
          <w:rFonts w:ascii="Times New Roman" w:hAnsi="Times New Roman" w:cs="Times New Roman"/>
          <w:color w:val="000000"/>
        </w:rPr>
        <w:t>-</w:t>
      </w:r>
      <w:r w:rsidR="009A317E" w:rsidRPr="009A317E">
        <w:rPr>
          <w:rFonts w:ascii="Times New Roman" w:hAnsi="Times New Roman" w:cs="Times New Roman"/>
          <w:color w:val="000000"/>
        </w:rPr>
        <w:t xml:space="preserve">third party reviews of </w:t>
      </w:r>
      <w:r>
        <w:rPr>
          <w:rFonts w:ascii="Times New Roman" w:hAnsi="Times New Roman" w:cs="Times New Roman"/>
          <w:color w:val="000000"/>
        </w:rPr>
        <w:t xml:space="preserve">all RTF staff </w:t>
      </w:r>
      <w:r w:rsidR="009A317E" w:rsidRPr="009A317E">
        <w:rPr>
          <w:rFonts w:ascii="Times New Roman" w:hAnsi="Times New Roman" w:cs="Times New Roman"/>
          <w:color w:val="000000"/>
        </w:rPr>
        <w:t xml:space="preserve">work products </w:t>
      </w:r>
      <w:r>
        <w:rPr>
          <w:rFonts w:ascii="Times New Roman" w:hAnsi="Times New Roman" w:cs="Times New Roman"/>
          <w:color w:val="000000"/>
        </w:rPr>
        <w:t>throughout the year. This had</w:t>
      </w:r>
      <w:r w:rsidR="009A317E" w:rsidRPr="009A317E">
        <w:rPr>
          <w:rFonts w:ascii="Times New Roman" w:hAnsi="Times New Roman" w:cs="Times New Roman"/>
          <w:color w:val="000000"/>
        </w:rPr>
        <w:t xml:space="preserve"> the added benefit of keeping the measure development </w:t>
      </w:r>
      <w:r w:rsidR="00C63D39">
        <w:rPr>
          <w:rFonts w:ascii="Times New Roman" w:hAnsi="Times New Roman" w:cs="Times New Roman"/>
          <w:color w:val="000000"/>
        </w:rPr>
        <w:t xml:space="preserve">knowledge </w:t>
      </w:r>
      <w:r w:rsidR="009A317E" w:rsidRPr="009A317E">
        <w:rPr>
          <w:rFonts w:ascii="Times New Roman" w:hAnsi="Times New Roman" w:cs="Times New Roman"/>
          <w:color w:val="000000"/>
        </w:rPr>
        <w:t xml:space="preserve">in-house </w:t>
      </w:r>
      <w:r w:rsidR="00C63D39">
        <w:rPr>
          <w:rFonts w:ascii="Times New Roman" w:hAnsi="Times New Roman" w:cs="Times New Roman"/>
          <w:color w:val="000000"/>
        </w:rPr>
        <w:t xml:space="preserve">while assuring </w:t>
      </w:r>
      <w:r w:rsidR="009A317E" w:rsidRPr="009A317E">
        <w:rPr>
          <w:rFonts w:ascii="Times New Roman" w:hAnsi="Times New Roman" w:cs="Times New Roman"/>
          <w:color w:val="000000"/>
        </w:rPr>
        <w:t xml:space="preserve">a credible review of the work </w:t>
      </w:r>
      <w:r w:rsidR="00C63D39">
        <w:rPr>
          <w:rFonts w:ascii="Times New Roman" w:hAnsi="Times New Roman" w:cs="Times New Roman"/>
          <w:color w:val="000000"/>
        </w:rPr>
        <w:t xml:space="preserve">is </w:t>
      </w:r>
      <w:r w:rsidR="009A317E" w:rsidRPr="009A317E">
        <w:rPr>
          <w:rFonts w:ascii="Times New Roman" w:hAnsi="Times New Roman" w:cs="Times New Roman"/>
          <w:color w:val="000000"/>
        </w:rPr>
        <w:t>d</w:t>
      </w:r>
      <w:r w:rsidR="00D17C0F">
        <w:rPr>
          <w:rFonts w:ascii="Times New Roman" w:hAnsi="Times New Roman" w:cs="Times New Roman"/>
          <w:color w:val="000000"/>
        </w:rPr>
        <w:t>one by an impartial third party, and this approach is planned to continue in 2014.</w:t>
      </w:r>
    </w:p>
    <w:p w:rsidR="000E0D05" w:rsidRDefault="000E0D05"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C63D39" w:rsidRPr="009A317E" w:rsidRDefault="00C22D74" w:rsidP="00C63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Similar to this business model adopted in 2013, the 2014 RTF work plan will continue t</w:t>
      </w:r>
      <w:r w:rsidR="00C63D39">
        <w:rPr>
          <w:rFonts w:ascii="Times New Roman" w:hAnsi="Times New Roman" w:cs="Times New Roman"/>
          <w:color w:val="000000"/>
        </w:rPr>
        <w:t xml:space="preserve">o implement this strategy </w:t>
      </w:r>
      <w:r>
        <w:rPr>
          <w:rFonts w:ascii="Times New Roman" w:hAnsi="Times New Roman" w:cs="Times New Roman"/>
          <w:color w:val="000000"/>
        </w:rPr>
        <w:t>by allocating the majority of</w:t>
      </w:r>
      <w:r w:rsidR="005C04EF">
        <w:rPr>
          <w:rFonts w:ascii="Times New Roman" w:hAnsi="Times New Roman" w:cs="Times New Roman"/>
          <w:color w:val="000000"/>
        </w:rPr>
        <w:t xml:space="preserve"> </w:t>
      </w:r>
      <w:r w:rsidR="006A4CA5">
        <w:rPr>
          <w:rFonts w:ascii="Times New Roman" w:hAnsi="Times New Roman" w:cs="Times New Roman"/>
          <w:color w:val="000000"/>
        </w:rPr>
        <w:t xml:space="preserve">its </w:t>
      </w:r>
      <w:r w:rsidR="005C04EF">
        <w:rPr>
          <w:rFonts w:ascii="Times New Roman" w:hAnsi="Times New Roman" w:cs="Times New Roman"/>
          <w:color w:val="000000"/>
        </w:rPr>
        <w:t xml:space="preserve">budget </w:t>
      </w:r>
      <w:r>
        <w:rPr>
          <w:rFonts w:ascii="Times New Roman" w:hAnsi="Times New Roman" w:cs="Times New Roman"/>
          <w:color w:val="000000"/>
        </w:rPr>
        <w:t xml:space="preserve">towards </w:t>
      </w:r>
      <w:r w:rsidR="006A4CA5">
        <w:rPr>
          <w:rFonts w:ascii="Times New Roman" w:hAnsi="Times New Roman" w:cs="Times New Roman"/>
          <w:color w:val="000000"/>
        </w:rPr>
        <w:t xml:space="preserve">RTF contract staff time </w:t>
      </w:r>
      <w:r>
        <w:rPr>
          <w:rFonts w:ascii="Times New Roman" w:hAnsi="Times New Roman" w:cs="Times New Roman"/>
          <w:color w:val="000000"/>
        </w:rPr>
        <w:t xml:space="preserve">and less towards </w:t>
      </w:r>
      <w:r w:rsidR="0010266B">
        <w:rPr>
          <w:rFonts w:ascii="Times New Roman" w:hAnsi="Times New Roman" w:cs="Times New Roman"/>
          <w:color w:val="000000"/>
        </w:rPr>
        <w:t xml:space="preserve">third-party </w:t>
      </w:r>
      <w:r w:rsidR="006A4CA5">
        <w:rPr>
          <w:rFonts w:ascii="Times New Roman" w:hAnsi="Times New Roman" w:cs="Times New Roman"/>
          <w:color w:val="000000"/>
        </w:rPr>
        <w:t>contract RFPs</w:t>
      </w:r>
      <w:r w:rsidR="004B4DFA">
        <w:rPr>
          <w:rFonts w:ascii="Times New Roman" w:hAnsi="Times New Roman" w:cs="Times New Roman"/>
          <w:color w:val="000000"/>
        </w:rPr>
        <w:t xml:space="preserve"> for technical analysis</w:t>
      </w:r>
      <w:r w:rsidR="0096697E">
        <w:rPr>
          <w:rFonts w:ascii="Times New Roman" w:hAnsi="Times New Roman" w:cs="Times New Roman"/>
          <w:color w:val="000000"/>
        </w:rPr>
        <w:t xml:space="preserve">. </w:t>
      </w:r>
      <w:r>
        <w:rPr>
          <w:rFonts w:ascii="Times New Roman" w:hAnsi="Times New Roman" w:cs="Times New Roman"/>
          <w:color w:val="000000"/>
        </w:rPr>
        <w:t xml:space="preserve">Four </w:t>
      </w:r>
      <w:r w:rsidR="00222721">
        <w:rPr>
          <w:rFonts w:ascii="Times New Roman" w:hAnsi="Times New Roman" w:cs="Times New Roman"/>
          <w:color w:val="000000"/>
        </w:rPr>
        <w:t>full-time</w:t>
      </w:r>
      <w:r w:rsidR="000121B4">
        <w:rPr>
          <w:rFonts w:ascii="Times New Roman" w:hAnsi="Times New Roman" w:cs="Times New Roman"/>
          <w:color w:val="000000"/>
        </w:rPr>
        <w:t xml:space="preserve"> </w:t>
      </w:r>
      <w:r w:rsidR="00222721">
        <w:rPr>
          <w:rFonts w:ascii="Times New Roman" w:hAnsi="Times New Roman" w:cs="Times New Roman"/>
          <w:color w:val="000000"/>
        </w:rPr>
        <w:t xml:space="preserve">staff </w:t>
      </w:r>
      <w:r>
        <w:rPr>
          <w:rFonts w:ascii="Times New Roman" w:hAnsi="Times New Roman" w:cs="Times New Roman"/>
          <w:color w:val="000000"/>
        </w:rPr>
        <w:t xml:space="preserve">were </w:t>
      </w:r>
      <w:r w:rsidR="00222721">
        <w:rPr>
          <w:rFonts w:ascii="Times New Roman" w:hAnsi="Times New Roman" w:cs="Times New Roman"/>
          <w:color w:val="000000"/>
        </w:rPr>
        <w:t xml:space="preserve">added in </w:t>
      </w:r>
      <w:r w:rsidR="00687786">
        <w:rPr>
          <w:rFonts w:ascii="Times New Roman" w:hAnsi="Times New Roman" w:cs="Times New Roman"/>
          <w:color w:val="000000"/>
        </w:rPr>
        <w:t>2013</w:t>
      </w:r>
      <w:r w:rsidR="00222721">
        <w:rPr>
          <w:rFonts w:ascii="Times New Roman" w:hAnsi="Times New Roman" w:cs="Times New Roman"/>
          <w:color w:val="000000"/>
        </w:rPr>
        <w:t xml:space="preserve"> to manage the RTF and provide technical analysis </w:t>
      </w:r>
      <w:r w:rsidR="00EC30A8">
        <w:rPr>
          <w:rFonts w:ascii="Times New Roman" w:hAnsi="Times New Roman" w:cs="Times New Roman"/>
          <w:color w:val="000000"/>
        </w:rPr>
        <w:t>as</w:t>
      </w:r>
      <w:r w:rsidR="00222721">
        <w:rPr>
          <w:rFonts w:ascii="Times New Roman" w:hAnsi="Times New Roman" w:cs="Times New Roman"/>
          <w:color w:val="000000"/>
        </w:rPr>
        <w:t xml:space="preserve"> needed, which increased the RTF staff </w:t>
      </w:r>
      <w:r w:rsidR="00EC30A8">
        <w:rPr>
          <w:rFonts w:ascii="Times New Roman" w:hAnsi="Times New Roman" w:cs="Times New Roman"/>
          <w:color w:val="000000"/>
        </w:rPr>
        <w:t>count to a total of</w:t>
      </w:r>
      <w:r w:rsidR="00222721">
        <w:rPr>
          <w:rFonts w:ascii="Times New Roman" w:hAnsi="Times New Roman" w:cs="Times New Roman"/>
          <w:color w:val="000000"/>
        </w:rPr>
        <w:t xml:space="preserve"> </w:t>
      </w:r>
      <w:r>
        <w:rPr>
          <w:rFonts w:ascii="Times New Roman" w:hAnsi="Times New Roman" w:cs="Times New Roman"/>
          <w:color w:val="000000"/>
        </w:rPr>
        <w:t xml:space="preserve">six </w:t>
      </w:r>
      <w:r w:rsidR="00551EF5">
        <w:rPr>
          <w:rFonts w:ascii="Times New Roman" w:hAnsi="Times New Roman" w:cs="Times New Roman"/>
          <w:color w:val="000000"/>
        </w:rPr>
        <w:t>(one full time in-house Council</w:t>
      </w:r>
      <w:r w:rsidR="002044AD">
        <w:rPr>
          <w:rFonts w:ascii="Times New Roman" w:hAnsi="Times New Roman" w:cs="Times New Roman"/>
          <w:color w:val="000000"/>
        </w:rPr>
        <w:t xml:space="preserve"> </w:t>
      </w:r>
      <w:r w:rsidR="00551EF5">
        <w:rPr>
          <w:rFonts w:ascii="Times New Roman" w:hAnsi="Times New Roman" w:cs="Times New Roman"/>
          <w:color w:val="000000"/>
        </w:rPr>
        <w:t xml:space="preserve">staff person, fully funded by the RTF, and </w:t>
      </w:r>
      <w:r>
        <w:rPr>
          <w:rFonts w:ascii="Times New Roman" w:hAnsi="Times New Roman" w:cs="Times New Roman"/>
          <w:color w:val="000000"/>
        </w:rPr>
        <w:t>five</w:t>
      </w:r>
      <w:r w:rsidR="00551EF5">
        <w:rPr>
          <w:rFonts w:ascii="Times New Roman" w:hAnsi="Times New Roman" w:cs="Times New Roman"/>
          <w:color w:val="000000"/>
        </w:rPr>
        <w:t xml:space="preserve"> contract staff)</w:t>
      </w:r>
      <w:r w:rsidR="00222721">
        <w:rPr>
          <w:rFonts w:ascii="Times New Roman" w:hAnsi="Times New Roman" w:cs="Times New Roman"/>
          <w:color w:val="000000"/>
        </w:rPr>
        <w:t xml:space="preserve">. The </w:t>
      </w:r>
      <w:r w:rsidR="00687786">
        <w:rPr>
          <w:rFonts w:ascii="Times New Roman" w:hAnsi="Times New Roman" w:cs="Times New Roman"/>
          <w:color w:val="000000"/>
        </w:rPr>
        <w:t>2014</w:t>
      </w:r>
      <w:r w:rsidR="00222721">
        <w:rPr>
          <w:rFonts w:ascii="Times New Roman" w:hAnsi="Times New Roman" w:cs="Times New Roman"/>
          <w:color w:val="000000"/>
        </w:rPr>
        <w:t xml:space="preserve"> </w:t>
      </w:r>
      <w:r>
        <w:rPr>
          <w:rFonts w:ascii="Times New Roman" w:hAnsi="Times New Roman" w:cs="Times New Roman"/>
          <w:color w:val="000000"/>
        </w:rPr>
        <w:t xml:space="preserve">work plan </w:t>
      </w:r>
      <w:r w:rsidR="004B4DFA">
        <w:rPr>
          <w:rFonts w:ascii="Times New Roman" w:hAnsi="Times New Roman" w:cs="Times New Roman"/>
          <w:color w:val="000000"/>
        </w:rPr>
        <w:t xml:space="preserve">will </w:t>
      </w:r>
      <w:r>
        <w:rPr>
          <w:rFonts w:ascii="Times New Roman" w:hAnsi="Times New Roman" w:cs="Times New Roman"/>
          <w:color w:val="000000"/>
        </w:rPr>
        <w:t xml:space="preserve">effectively maintain this same level of </w:t>
      </w:r>
      <w:r w:rsidR="004B4DFA">
        <w:rPr>
          <w:rFonts w:ascii="Times New Roman" w:hAnsi="Times New Roman" w:cs="Times New Roman"/>
          <w:color w:val="000000"/>
        </w:rPr>
        <w:t xml:space="preserve">staffing from </w:t>
      </w:r>
      <w:r w:rsidR="0010266B">
        <w:rPr>
          <w:rFonts w:ascii="Times New Roman" w:hAnsi="Times New Roman" w:cs="Times New Roman"/>
          <w:color w:val="000000"/>
        </w:rPr>
        <w:t xml:space="preserve">the current level of </w:t>
      </w:r>
      <w:r w:rsidR="00551EF5">
        <w:rPr>
          <w:rFonts w:ascii="Times New Roman" w:hAnsi="Times New Roman" w:cs="Times New Roman"/>
          <w:color w:val="000000"/>
        </w:rPr>
        <w:t>six</w:t>
      </w:r>
      <w:r>
        <w:rPr>
          <w:rFonts w:ascii="Times New Roman" w:hAnsi="Times New Roman" w:cs="Times New Roman"/>
          <w:color w:val="000000"/>
        </w:rPr>
        <w:t xml:space="preserve">, </w:t>
      </w:r>
      <w:r w:rsidR="00D16297">
        <w:rPr>
          <w:rFonts w:ascii="Times New Roman" w:hAnsi="Times New Roman" w:cs="Times New Roman"/>
          <w:color w:val="000000"/>
        </w:rPr>
        <w:t>with a slight increase in resources allocated to contract staff, as</w:t>
      </w:r>
      <w:r w:rsidR="00C63D39">
        <w:rPr>
          <w:rFonts w:ascii="Times New Roman" w:hAnsi="Times New Roman" w:cs="Times New Roman"/>
          <w:color w:val="000000"/>
        </w:rPr>
        <w:t xml:space="preserve"> reflected in the allocation breakout shown in </w:t>
      </w:r>
      <w:r w:rsidR="0010266B">
        <w:rPr>
          <w:rFonts w:ascii="Times New Roman" w:hAnsi="Times New Roman" w:cs="Times New Roman"/>
          <w:color w:val="000000"/>
        </w:rPr>
        <w:t>Figure</w:t>
      </w:r>
      <w:r w:rsidR="006A4CA5">
        <w:rPr>
          <w:rFonts w:ascii="Times New Roman" w:hAnsi="Times New Roman" w:cs="Times New Roman"/>
          <w:color w:val="000000"/>
        </w:rPr>
        <w:t>s</w:t>
      </w:r>
      <w:r w:rsidR="0010266B">
        <w:rPr>
          <w:rFonts w:ascii="Times New Roman" w:hAnsi="Times New Roman" w:cs="Times New Roman"/>
          <w:color w:val="000000"/>
        </w:rPr>
        <w:t xml:space="preserve"> </w:t>
      </w:r>
      <w:r w:rsidR="00C63D39">
        <w:rPr>
          <w:rFonts w:ascii="Times New Roman" w:hAnsi="Times New Roman" w:cs="Times New Roman"/>
          <w:color w:val="000000"/>
        </w:rPr>
        <w:t xml:space="preserve">1 </w:t>
      </w:r>
      <w:r w:rsidR="006A4CA5">
        <w:rPr>
          <w:rFonts w:ascii="Times New Roman" w:hAnsi="Times New Roman" w:cs="Times New Roman"/>
          <w:color w:val="000000"/>
        </w:rPr>
        <w:t xml:space="preserve">&amp; 2 </w:t>
      </w:r>
      <w:r w:rsidR="0010266B">
        <w:rPr>
          <w:rFonts w:ascii="Times New Roman" w:hAnsi="Times New Roman" w:cs="Times New Roman"/>
          <w:color w:val="000000"/>
        </w:rPr>
        <w:t>below</w:t>
      </w:r>
      <w:r w:rsidR="00C63D39">
        <w:rPr>
          <w:rFonts w:ascii="Times New Roman" w:hAnsi="Times New Roman" w:cs="Times New Roman"/>
          <w:color w:val="000000"/>
        </w:rPr>
        <w:t>.</w:t>
      </w:r>
      <w:r w:rsidR="00421BD7">
        <w:rPr>
          <w:rFonts w:ascii="Times New Roman" w:hAnsi="Times New Roman" w:cs="Times New Roman"/>
          <w:color w:val="000000"/>
        </w:rPr>
        <w:t xml:space="preserve"> Existing RTF staff will continue to provide subcommittee support, </w:t>
      </w:r>
      <w:r w:rsidR="00F97A75">
        <w:rPr>
          <w:rFonts w:ascii="Times New Roman" w:hAnsi="Times New Roman" w:cs="Times New Roman"/>
          <w:color w:val="000000"/>
        </w:rPr>
        <w:t xml:space="preserve">review research projects, </w:t>
      </w:r>
      <w:r w:rsidR="00D16297">
        <w:rPr>
          <w:rFonts w:ascii="Times New Roman" w:hAnsi="Times New Roman" w:cs="Times New Roman"/>
          <w:color w:val="000000"/>
        </w:rPr>
        <w:t xml:space="preserve">develop </w:t>
      </w:r>
      <w:r w:rsidR="00F97A75">
        <w:rPr>
          <w:rFonts w:ascii="Times New Roman" w:hAnsi="Times New Roman" w:cs="Times New Roman"/>
          <w:color w:val="000000"/>
        </w:rPr>
        <w:t xml:space="preserve">technical </w:t>
      </w:r>
      <w:r w:rsidR="00421BD7">
        <w:rPr>
          <w:rFonts w:ascii="Times New Roman" w:hAnsi="Times New Roman" w:cs="Times New Roman"/>
          <w:color w:val="000000"/>
        </w:rPr>
        <w:t xml:space="preserve">work </w:t>
      </w:r>
      <w:r w:rsidR="00F97A75">
        <w:rPr>
          <w:rFonts w:ascii="Times New Roman" w:hAnsi="Times New Roman" w:cs="Times New Roman"/>
          <w:color w:val="000000"/>
        </w:rPr>
        <w:t>related to new and existing measure development</w:t>
      </w:r>
      <w:r w:rsidR="00421BD7">
        <w:rPr>
          <w:rFonts w:ascii="Times New Roman" w:hAnsi="Times New Roman" w:cs="Times New Roman"/>
          <w:color w:val="000000"/>
        </w:rPr>
        <w:t xml:space="preserve">, and work with </w:t>
      </w:r>
      <w:r w:rsidR="00F97A75">
        <w:rPr>
          <w:rFonts w:ascii="Times New Roman" w:hAnsi="Times New Roman" w:cs="Times New Roman"/>
          <w:color w:val="000000"/>
        </w:rPr>
        <w:t xml:space="preserve">external </w:t>
      </w:r>
      <w:r w:rsidR="00421BD7">
        <w:rPr>
          <w:rFonts w:ascii="Times New Roman" w:hAnsi="Times New Roman" w:cs="Times New Roman"/>
          <w:color w:val="000000"/>
        </w:rPr>
        <w:t>stakeholders on bringing me</w:t>
      </w:r>
      <w:r w:rsidR="00F97A75">
        <w:rPr>
          <w:rFonts w:ascii="Times New Roman" w:hAnsi="Times New Roman" w:cs="Times New Roman"/>
          <w:color w:val="000000"/>
        </w:rPr>
        <w:t>asures through the RTF process.</w:t>
      </w:r>
      <w:r w:rsidR="00D17C0F">
        <w:rPr>
          <w:rFonts w:ascii="Times New Roman" w:hAnsi="Times New Roman" w:cs="Times New Roman"/>
          <w:color w:val="000000"/>
        </w:rPr>
        <w:t xml:space="preserve"> Funding set aside for outside contracts will be used to review staff work products, conduct research projects as outlined in the work plan, aid in tool development, coordinate regional research efforts, and provide further support to the small and rural utilities work plan.</w:t>
      </w:r>
    </w:p>
    <w:p w:rsidR="0010266B" w:rsidRDefault="0010266B"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16297" w:rsidRDefault="00D16297"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0266B" w:rsidRDefault="0010266B" w:rsidP="001026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Pr>
          <w:rFonts w:cs="Times New Roman"/>
          <w:b/>
          <w:color w:val="000000"/>
        </w:rPr>
        <w:t>Figure</w:t>
      </w:r>
      <w:r w:rsidR="00EC30A8">
        <w:rPr>
          <w:rFonts w:cs="Times New Roman"/>
          <w:b/>
          <w:color w:val="000000"/>
        </w:rPr>
        <w:t xml:space="preserve"> </w:t>
      </w:r>
      <w:r w:rsidRPr="009C1876">
        <w:rPr>
          <w:rFonts w:cs="Times New Roman"/>
          <w:b/>
          <w:color w:val="000000"/>
        </w:rPr>
        <w:t xml:space="preserve">1: </w:t>
      </w:r>
      <w:r>
        <w:rPr>
          <w:rFonts w:cs="Times New Roman"/>
          <w:b/>
          <w:color w:val="000000"/>
        </w:rPr>
        <w:t xml:space="preserve"> </w:t>
      </w:r>
      <w:r w:rsidR="00987232">
        <w:rPr>
          <w:rFonts w:cs="Times New Roman"/>
          <w:b/>
          <w:color w:val="000000"/>
        </w:rPr>
        <w:t xml:space="preserve">RTF </w:t>
      </w:r>
      <w:r w:rsidR="002044AD">
        <w:rPr>
          <w:rFonts w:cs="Times New Roman"/>
          <w:b/>
          <w:color w:val="000000"/>
        </w:rPr>
        <w:t xml:space="preserve">Contract </w:t>
      </w:r>
      <w:r w:rsidR="00987232">
        <w:rPr>
          <w:rFonts w:cs="Times New Roman"/>
          <w:b/>
          <w:color w:val="000000"/>
        </w:rPr>
        <w:t xml:space="preserve">Staff Allocation </w:t>
      </w:r>
      <w:r w:rsidR="002044AD">
        <w:rPr>
          <w:rFonts w:cs="Times New Roman"/>
          <w:b/>
          <w:color w:val="000000"/>
        </w:rPr>
        <w:t>for 2012-2014</w:t>
      </w:r>
    </w:p>
    <w:p w:rsidR="00D16297" w:rsidRDefault="00D16297" w:rsidP="001026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p>
    <w:p w:rsidR="0010266B" w:rsidRDefault="002044AD"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2044AD">
        <w:rPr>
          <w:rFonts w:ascii="Times New Roman" w:hAnsi="Times New Roman" w:cs="Times New Roman"/>
          <w:noProof/>
          <w:color w:val="000000"/>
        </w:rPr>
        <w:drawing>
          <wp:inline distT="0" distB="0" distL="0" distR="0">
            <wp:extent cx="5940006" cy="4192437"/>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266B" w:rsidRDefault="0010266B"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C30A8" w:rsidRDefault="006429B8" w:rsidP="00EC3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Pr>
          <w:rFonts w:cs="Times New Roman"/>
          <w:b/>
          <w:color w:val="000000"/>
        </w:rPr>
        <w:br w:type="page"/>
      </w:r>
      <w:r w:rsidR="00EC30A8">
        <w:rPr>
          <w:rFonts w:cs="Times New Roman"/>
          <w:b/>
          <w:color w:val="000000"/>
        </w:rPr>
        <w:t>Figure 2</w:t>
      </w:r>
      <w:r w:rsidR="00EC30A8" w:rsidRPr="009C1876">
        <w:rPr>
          <w:rFonts w:cs="Times New Roman"/>
          <w:b/>
          <w:color w:val="000000"/>
        </w:rPr>
        <w:t xml:space="preserve">: </w:t>
      </w:r>
      <w:r w:rsidR="00EC30A8">
        <w:rPr>
          <w:rFonts w:cs="Times New Roman"/>
          <w:b/>
          <w:color w:val="000000"/>
        </w:rPr>
        <w:t xml:space="preserve"> RTF Contract </w:t>
      </w:r>
      <w:r w:rsidR="009075B4">
        <w:rPr>
          <w:rFonts w:cs="Times New Roman"/>
          <w:b/>
          <w:color w:val="000000"/>
        </w:rPr>
        <w:t xml:space="preserve">RFP </w:t>
      </w:r>
      <w:r w:rsidR="00EC30A8">
        <w:rPr>
          <w:rFonts w:cs="Times New Roman"/>
          <w:b/>
          <w:color w:val="000000"/>
        </w:rPr>
        <w:t xml:space="preserve">Allocation </w:t>
      </w:r>
      <w:r w:rsidR="002044AD">
        <w:rPr>
          <w:rFonts w:cs="Times New Roman"/>
          <w:b/>
          <w:color w:val="000000"/>
        </w:rPr>
        <w:t>for</w:t>
      </w:r>
      <w:r w:rsidR="00EC30A8">
        <w:rPr>
          <w:rFonts w:cs="Times New Roman"/>
          <w:b/>
          <w:color w:val="000000"/>
        </w:rPr>
        <w:t xml:space="preserve"> </w:t>
      </w:r>
      <w:r w:rsidR="002044AD">
        <w:rPr>
          <w:rFonts w:cs="Times New Roman"/>
          <w:b/>
          <w:color w:val="000000"/>
        </w:rPr>
        <w:t>2012-</w:t>
      </w:r>
      <w:r w:rsidR="00687786">
        <w:rPr>
          <w:rFonts w:cs="Times New Roman"/>
          <w:b/>
          <w:color w:val="000000"/>
        </w:rPr>
        <w:t>2014</w:t>
      </w:r>
    </w:p>
    <w:p w:rsidR="00EC30A8" w:rsidRPr="009A317E" w:rsidRDefault="00EC30A8"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C30A8" w:rsidRDefault="002044AD"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r w:rsidRPr="002044AD">
        <w:rPr>
          <w:rFonts w:cs="Times New Roman"/>
          <w:b/>
          <w:bCs/>
          <w:noProof/>
          <w:color w:val="000000"/>
          <w:sz w:val="26"/>
          <w:szCs w:val="26"/>
        </w:rPr>
        <w:drawing>
          <wp:inline distT="0" distB="0" distL="0" distR="0">
            <wp:extent cx="5934974" cy="3950899"/>
            <wp:effectExtent l="0" t="0" r="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30A8" w:rsidRDefault="00EC30A8"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p>
    <w:p w:rsidR="002044AD" w:rsidRDefault="002044AD"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p>
    <w:p w:rsidR="005F6094" w:rsidRPr="004613DC" w:rsidRDefault="00687786"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r>
        <w:rPr>
          <w:rFonts w:cs="Times New Roman"/>
          <w:b/>
          <w:bCs/>
          <w:color w:val="000000"/>
          <w:sz w:val="26"/>
          <w:szCs w:val="26"/>
        </w:rPr>
        <w:t>2014</w:t>
      </w:r>
      <w:r w:rsidR="005F6094" w:rsidRPr="004613DC">
        <w:rPr>
          <w:rFonts w:cs="Times New Roman"/>
          <w:b/>
          <w:bCs/>
          <w:color w:val="000000"/>
          <w:sz w:val="26"/>
          <w:szCs w:val="26"/>
        </w:rPr>
        <w:t xml:space="preserve"> Funding</w:t>
      </w: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6697E" w:rsidRDefault="00761E2C"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Funding for the RTF is developed through </w:t>
      </w:r>
      <w:r w:rsidR="00D558BB">
        <w:rPr>
          <w:rFonts w:ascii="Times New Roman" w:hAnsi="Times New Roman" w:cs="Times New Roman"/>
          <w:color w:val="000000"/>
        </w:rPr>
        <w:t>advic</w:t>
      </w:r>
      <w:r w:rsidR="0005682D">
        <w:rPr>
          <w:rFonts w:ascii="Times New Roman" w:hAnsi="Times New Roman" w:cs="Times New Roman"/>
          <w:color w:val="000000"/>
        </w:rPr>
        <w:t>e from the</w:t>
      </w:r>
      <w:r w:rsidR="000121B4">
        <w:rPr>
          <w:rFonts w:ascii="Times New Roman" w:hAnsi="Times New Roman" w:cs="Times New Roman"/>
          <w:color w:val="000000"/>
        </w:rPr>
        <w:t xml:space="preserve"> </w:t>
      </w:r>
      <w:r>
        <w:rPr>
          <w:rFonts w:ascii="Times New Roman" w:hAnsi="Times New Roman" w:cs="Times New Roman"/>
          <w:color w:val="000000"/>
        </w:rPr>
        <w:t>RTF Policy Advisory Committee (RTF</w:t>
      </w:r>
      <w:r w:rsidR="0005682D">
        <w:rPr>
          <w:rFonts w:ascii="Times New Roman" w:hAnsi="Times New Roman" w:cs="Times New Roman"/>
          <w:color w:val="000000"/>
        </w:rPr>
        <w:t xml:space="preserve"> </w:t>
      </w:r>
      <w:r>
        <w:rPr>
          <w:rFonts w:ascii="Times New Roman" w:hAnsi="Times New Roman" w:cs="Times New Roman"/>
          <w:color w:val="000000"/>
        </w:rPr>
        <w:t>PAC)</w:t>
      </w:r>
      <w:r w:rsidR="0096697E">
        <w:rPr>
          <w:rFonts w:ascii="Times New Roman" w:hAnsi="Times New Roman" w:cs="Times New Roman"/>
          <w:color w:val="000000"/>
        </w:rPr>
        <w:t xml:space="preserve">. </w:t>
      </w:r>
      <w:r w:rsidR="00BF2267">
        <w:rPr>
          <w:rFonts w:ascii="Times New Roman" w:hAnsi="Times New Roman" w:cs="Times New Roman"/>
          <w:color w:val="000000"/>
        </w:rPr>
        <w:t>In 2011, th</w:t>
      </w:r>
      <w:r w:rsidR="00EE5E63">
        <w:rPr>
          <w:rFonts w:ascii="Times New Roman" w:hAnsi="Times New Roman" w:cs="Times New Roman"/>
          <w:color w:val="000000"/>
        </w:rPr>
        <w:t>e RTF</w:t>
      </w:r>
      <w:r w:rsidR="0005682D">
        <w:rPr>
          <w:rFonts w:ascii="Times New Roman" w:hAnsi="Times New Roman" w:cs="Times New Roman"/>
          <w:color w:val="000000"/>
        </w:rPr>
        <w:t xml:space="preserve"> </w:t>
      </w:r>
      <w:r>
        <w:rPr>
          <w:rFonts w:ascii="Times New Roman" w:hAnsi="Times New Roman" w:cs="Times New Roman"/>
          <w:color w:val="000000"/>
        </w:rPr>
        <w:t>PAC</w:t>
      </w:r>
      <w:r w:rsidR="00EE5E63">
        <w:rPr>
          <w:rFonts w:ascii="Times New Roman" w:hAnsi="Times New Roman" w:cs="Times New Roman"/>
          <w:color w:val="000000"/>
        </w:rPr>
        <w:t xml:space="preserve"> recommended a three-year funding level of $1.5 million per year for </w:t>
      </w:r>
      <w:r w:rsidR="00687786">
        <w:rPr>
          <w:rFonts w:ascii="Times New Roman" w:hAnsi="Times New Roman" w:cs="Times New Roman"/>
          <w:color w:val="000000"/>
        </w:rPr>
        <w:t>2013</w:t>
      </w:r>
      <w:r w:rsidR="00EE5E63">
        <w:rPr>
          <w:rFonts w:ascii="Times New Roman" w:hAnsi="Times New Roman" w:cs="Times New Roman"/>
          <w:color w:val="000000"/>
        </w:rPr>
        <w:t>-</w:t>
      </w:r>
      <w:r w:rsidR="00687786">
        <w:rPr>
          <w:rFonts w:ascii="Times New Roman" w:hAnsi="Times New Roman" w:cs="Times New Roman"/>
          <w:color w:val="000000"/>
        </w:rPr>
        <w:t>2015</w:t>
      </w:r>
      <w:r w:rsidR="0096697E">
        <w:rPr>
          <w:rFonts w:ascii="Times New Roman" w:hAnsi="Times New Roman" w:cs="Times New Roman"/>
          <w:color w:val="000000"/>
        </w:rPr>
        <w:t xml:space="preserve">. </w:t>
      </w:r>
      <w:r w:rsidR="00EE5E63">
        <w:rPr>
          <w:rFonts w:ascii="Times New Roman" w:hAnsi="Times New Roman" w:cs="Times New Roman"/>
          <w:color w:val="000000"/>
        </w:rPr>
        <w:t xml:space="preserve">The </w:t>
      </w:r>
      <w:r w:rsidR="0005682D">
        <w:rPr>
          <w:rFonts w:ascii="Times New Roman" w:hAnsi="Times New Roman" w:cs="Times New Roman"/>
          <w:color w:val="000000"/>
        </w:rPr>
        <w:t xml:space="preserve">RTF </w:t>
      </w:r>
      <w:r w:rsidR="00EE5E63">
        <w:rPr>
          <w:rFonts w:ascii="Times New Roman" w:hAnsi="Times New Roman" w:cs="Times New Roman"/>
          <w:color w:val="000000"/>
        </w:rPr>
        <w:t>PAC also recommended that f</w:t>
      </w:r>
      <w:r w:rsidR="00AC6BF7" w:rsidRPr="00AC6BF7">
        <w:rPr>
          <w:rFonts w:ascii="Times New Roman" w:hAnsi="Times New Roman" w:cs="Times New Roman"/>
          <w:color w:val="000000"/>
        </w:rPr>
        <w:t xml:space="preserve">unding shares </w:t>
      </w:r>
      <w:r w:rsidR="00EE5E63">
        <w:rPr>
          <w:rFonts w:ascii="Times New Roman" w:hAnsi="Times New Roman" w:cs="Times New Roman"/>
          <w:color w:val="000000"/>
        </w:rPr>
        <w:t>should follow</w:t>
      </w:r>
      <w:r w:rsidR="00AC6BF7" w:rsidRPr="00AC6BF7">
        <w:rPr>
          <w:rFonts w:ascii="Times New Roman" w:hAnsi="Times New Roman" w:cs="Times New Roman"/>
          <w:color w:val="000000"/>
        </w:rPr>
        <w:t xml:space="preserve"> the</w:t>
      </w:r>
      <w:r w:rsidR="00EE5E63">
        <w:rPr>
          <w:rFonts w:ascii="Times New Roman" w:hAnsi="Times New Roman" w:cs="Times New Roman"/>
          <w:color w:val="000000"/>
        </w:rPr>
        <w:t xml:space="preserve"> allocation method </w:t>
      </w:r>
      <w:r w:rsidR="00AC6BF7" w:rsidRPr="00AC6BF7">
        <w:rPr>
          <w:rFonts w:ascii="Times New Roman" w:hAnsi="Times New Roman" w:cs="Times New Roman"/>
          <w:color w:val="000000"/>
        </w:rPr>
        <w:t>developed for NEEA funding</w:t>
      </w:r>
      <w:r w:rsidR="005A22C6">
        <w:rPr>
          <w:rFonts w:ascii="Times New Roman" w:hAnsi="Times New Roman" w:cs="Times New Roman"/>
          <w:color w:val="000000"/>
        </w:rPr>
        <w:t>, with an adjustment for Northwestern Energy</w:t>
      </w:r>
      <w:r w:rsidR="00EE5E63">
        <w:rPr>
          <w:rStyle w:val="FootnoteReference"/>
          <w:rFonts w:ascii="Times New Roman" w:hAnsi="Times New Roman" w:cs="Times New Roman"/>
          <w:color w:val="000000"/>
        </w:rPr>
        <w:footnoteReference w:id="3"/>
      </w:r>
      <w:r w:rsidR="0096697E">
        <w:rPr>
          <w:rFonts w:ascii="Times New Roman" w:hAnsi="Times New Roman" w:cs="Times New Roman"/>
          <w:color w:val="000000"/>
        </w:rPr>
        <w:t>.</w:t>
      </w:r>
    </w:p>
    <w:p w:rsidR="00CA0FCC" w:rsidRDefault="00CA0FCC"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6697E" w:rsidRDefault="00AC6BF7"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AC6BF7">
        <w:rPr>
          <w:rFonts w:ascii="Times New Roman" w:hAnsi="Times New Roman" w:cs="Times New Roman"/>
          <w:color w:val="000000"/>
        </w:rPr>
        <w:t>This approach solicits funding from Bonneville, several of the large generating public utilities, and all six investor-owned utilities in the regi</w:t>
      </w:r>
      <w:r w:rsidR="007D2907">
        <w:rPr>
          <w:rFonts w:ascii="Times New Roman" w:hAnsi="Times New Roman" w:cs="Times New Roman"/>
          <w:color w:val="000000"/>
        </w:rPr>
        <w:t>on</w:t>
      </w:r>
      <w:r w:rsidR="0096697E">
        <w:rPr>
          <w:rFonts w:ascii="Times New Roman" w:hAnsi="Times New Roman" w:cs="Times New Roman"/>
          <w:color w:val="000000"/>
        </w:rPr>
        <w:t xml:space="preserve">. </w:t>
      </w:r>
      <w:r w:rsidR="007D2907">
        <w:rPr>
          <w:rFonts w:ascii="Times New Roman" w:hAnsi="Times New Roman" w:cs="Times New Roman"/>
          <w:color w:val="000000"/>
        </w:rPr>
        <w:t xml:space="preserve">Table 2 shows </w:t>
      </w:r>
      <w:r w:rsidR="00946D24">
        <w:rPr>
          <w:rFonts w:ascii="Times New Roman" w:hAnsi="Times New Roman" w:cs="Times New Roman"/>
          <w:color w:val="000000"/>
        </w:rPr>
        <w:t xml:space="preserve">the </w:t>
      </w:r>
      <w:r w:rsidR="00687786">
        <w:rPr>
          <w:rFonts w:ascii="Times New Roman" w:hAnsi="Times New Roman" w:cs="Times New Roman"/>
          <w:color w:val="000000"/>
        </w:rPr>
        <w:t>2014</w:t>
      </w:r>
      <w:r w:rsidRPr="00AC6BF7">
        <w:rPr>
          <w:rFonts w:ascii="Times New Roman" w:hAnsi="Times New Roman" w:cs="Times New Roman"/>
          <w:color w:val="000000"/>
        </w:rPr>
        <w:t xml:space="preserve"> funding shares and </w:t>
      </w:r>
      <w:r w:rsidR="0005682D">
        <w:rPr>
          <w:rFonts w:ascii="Times New Roman" w:hAnsi="Times New Roman" w:cs="Times New Roman"/>
          <w:color w:val="000000"/>
        </w:rPr>
        <w:t>contributions</w:t>
      </w:r>
      <w:r w:rsidR="0005682D" w:rsidRPr="00AC6BF7">
        <w:rPr>
          <w:rFonts w:ascii="Times New Roman" w:hAnsi="Times New Roman" w:cs="Times New Roman"/>
          <w:color w:val="000000"/>
        </w:rPr>
        <w:t xml:space="preserve"> </w:t>
      </w:r>
      <w:r w:rsidRPr="00AC6BF7">
        <w:rPr>
          <w:rFonts w:ascii="Times New Roman" w:hAnsi="Times New Roman" w:cs="Times New Roman"/>
          <w:color w:val="000000"/>
        </w:rPr>
        <w:t>by funder</w:t>
      </w:r>
      <w:r w:rsidR="0096697E">
        <w:rPr>
          <w:rFonts w:ascii="Times New Roman" w:hAnsi="Times New Roman" w:cs="Times New Roman"/>
          <w:color w:val="000000"/>
        </w:rPr>
        <w:t>.</w:t>
      </w:r>
    </w:p>
    <w:p w:rsidR="00FB03F9" w:rsidRDefault="00FB03F9"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CA72AA" w:rsidRPr="005E1F01" w:rsidRDefault="00CA72AA"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DC3B7D" w:rsidRDefault="006429B8" w:rsidP="000528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Pr>
          <w:rFonts w:cs="Times New Roman"/>
          <w:b/>
          <w:color w:val="000000"/>
        </w:rPr>
        <w:br w:type="page"/>
      </w:r>
      <w:r w:rsidR="00094CA4">
        <w:rPr>
          <w:rFonts w:cs="Times New Roman"/>
          <w:b/>
          <w:color w:val="000000"/>
        </w:rPr>
        <w:t xml:space="preserve">Table 2: </w:t>
      </w:r>
      <w:r w:rsidR="00687786">
        <w:rPr>
          <w:rFonts w:cs="Times New Roman"/>
          <w:b/>
          <w:color w:val="000000"/>
        </w:rPr>
        <w:t>2014</w:t>
      </w:r>
      <w:r w:rsidR="00AC6BF7" w:rsidRPr="0005280F">
        <w:rPr>
          <w:rFonts w:cs="Times New Roman"/>
          <w:b/>
          <w:color w:val="000000"/>
        </w:rPr>
        <w:t xml:space="preserve"> Funding Shares</w:t>
      </w:r>
    </w:p>
    <w:p w:rsidR="0005280F" w:rsidRPr="0005280F" w:rsidRDefault="0005280F" w:rsidP="000528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p>
    <w:tbl>
      <w:tblPr>
        <w:tblStyle w:val="TableGrid"/>
        <w:tblpPr w:leftFromText="180" w:rightFromText="180" w:vertAnchor="text" w:tblpX="18" w:tblpY="1"/>
        <w:tblOverlap w:val="never"/>
        <w:tblW w:w="9429" w:type="dxa"/>
        <w:tblLook w:val="04A0" w:firstRow="1" w:lastRow="0" w:firstColumn="1" w:lastColumn="0" w:noHBand="0" w:noVBand="1"/>
      </w:tblPr>
      <w:tblGrid>
        <w:gridCol w:w="3960"/>
        <w:gridCol w:w="1916"/>
        <w:gridCol w:w="1638"/>
        <w:gridCol w:w="1915"/>
      </w:tblGrid>
      <w:tr w:rsidR="0005280F" w:rsidTr="006429B8">
        <w:tc>
          <w:tcPr>
            <w:tcW w:w="3960" w:type="dxa"/>
            <w:shd w:val="clear" w:color="auto" w:fill="D9D9D9" w:themeFill="background1" w:themeFillShade="D9"/>
            <w:vAlign w:val="bottom"/>
          </w:tcPr>
          <w:p w:rsidR="0005280F" w:rsidRPr="00FC43A8" w:rsidRDefault="0005280F"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r>
              <w:rPr>
                <w:rFonts w:cs="Times New Roman"/>
                <w:b/>
                <w:color w:val="000000"/>
              </w:rPr>
              <w:t>Organization</w:t>
            </w:r>
          </w:p>
        </w:tc>
        <w:tc>
          <w:tcPr>
            <w:tcW w:w="1916" w:type="dxa"/>
            <w:shd w:val="clear" w:color="auto" w:fill="D9D9D9" w:themeFill="background1" w:themeFillShade="D9"/>
            <w:vAlign w:val="bottom"/>
          </w:tcPr>
          <w:p w:rsidR="0005280F" w:rsidRDefault="0005280F"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Pr>
                <w:rFonts w:cs="Times New Roman"/>
                <w:b/>
                <w:color w:val="000000"/>
              </w:rPr>
              <w:t>NEEA Funding</w:t>
            </w:r>
          </w:p>
          <w:p w:rsidR="0005280F" w:rsidRDefault="0005280F"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Pr>
                <w:rFonts w:cs="Times New Roman"/>
                <w:b/>
                <w:color w:val="000000"/>
              </w:rPr>
              <w:t>Shares</w:t>
            </w:r>
          </w:p>
          <w:p w:rsidR="0005280F" w:rsidRPr="00FC43A8" w:rsidRDefault="0005280F"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sidRPr="0005280F">
              <w:rPr>
                <w:rFonts w:cs="Times New Roman"/>
                <w:b/>
                <w:color w:val="000000"/>
                <w:sz w:val="20"/>
                <w:szCs w:val="20"/>
              </w:rPr>
              <w:t>(as of Jan 2010)</w:t>
            </w:r>
          </w:p>
        </w:tc>
        <w:tc>
          <w:tcPr>
            <w:tcW w:w="1638" w:type="dxa"/>
            <w:tcBorders>
              <w:right w:val="single" w:sz="24" w:space="0" w:color="auto"/>
            </w:tcBorders>
            <w:shd w:val="clear" w:color="auto" w:fill="D9D9D9" w:themeFill="background1" w:themeFillShade="D9"/>
            <w:vAlign w:val="bottom"/>
          </w:tcPr>
          <w:p w:rsidR="0005280F" w:rsidRDefault="0005280F"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Pr>
                <w:rFonts w:cs="Times New Roman"/>
                <w:b/>
                <w:color w:val="000000"/>
              </w:rPr>
              <w:t>Share of</w:t>
            </w:r>
          </w:p>
          <w:p w:rsidR="0005280F" w:rsidRPr="00FC43A8" w:rsidRDefault="0005280F"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Pr>
                <w:rFonts w:cs="Times New Roman"/>
                <w:b/>
                <w:color w:val="000000"/>
              </w:rPr>
              <w:t>RTF Budget</w:t>
            </w:r>
          </w:p>
        </w:tc>
        <w:tc>
          <w:tcPr>
            <w:tcW w:w="1915" w:type="dxa"/>
            <w:tcBorders>
              <w:top w:val="single" w:sz="2" w:space="0" w:color="auto"/>
              <w:left w:val="single" w:sz="24" w:space="0" w:color="auto"/>
              <w:bottom w:val="single" w:sz="2" w:space="0" w:color="auto"/>
              <w:right w:val="single" w:sz="2" w:space="0" w:color="auto"/>
            </w:tcBorders>
            <w:shd w:val="clear" w:color="auto" w:fill="D9D9D9" w:themeFill="background1" w:themeFillShade="D9"/>
            <w:vAlign w:val="bottom"/>
          </w:tcPr>
          <w:p w:rsidR="0005280F" w:rsidRDefault="0005280F"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sidRPr="00FC43A8">
              <w:rPr>
                <w:rFonts w:cs="Times New Roman"/>
                <w:b/>
                <w:color w:val="000000"/>
              </w:rPr>
              <w:t>Contribution</w:t>
            </w:r>
          </w:p>
          <w:p w:rsidR="0005280F" w:rsidRDefault="0005280F"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Pr>
                <w:rFonts w:cs="Times New Roman"/>
                <w:b/>
                <w:color w:val="000000"/>
              </w:rPr>
              <w:t>to RTF Budget</w:t>
            </w:r>
          </w:p>
          <w:p w:rsidR="0005280F" w:rsidRPr="00FC43A8" w:rsidRDefault="0005280F"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Pr>
                <w:rFonts w:cs="Times New Roman"/>
                <w:b/>
                <w:color w:val="000000"/>
              </w:rPr>
              <w:t>(rounded)</w:t>
            </w:r>
          </w:p>
        </w:tc>
      </w:tr>
      <w:tr w:rsidR="007D2907" w:rsidTr="006429B8">
        <w:tc>
          <w:tcPr>
            <w:tcW w:w="3960" w:type="dxa"/>
            <w:shd w:val="clear" w:color="auto" w:fill="FFFFFF" w:themeFill="background1"/>
          </w:tcPr>
          <w:p w:rsidR="007D2907" w:rsidRPr="00FC43A8" w:rsidRDefault="007D2907"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Pr>
                <w:rFonts w:cs="Times New Roman"/>
                <w:color w:val="000000"/>
                <w:sz w:val="22"/>
                <w:szCs w:val="22"/>
              </w:rPr>
              <w:t>Bonneville Power Administration</w:t>
            </w:r>
          </w:p>
        </w:tc>
        <w:tc>
          <w:tcPr>
            <w:tcW w:w="1916" w:type="dxa"/>
            <w:shd w:val="clear" w:color="auto" w:fill="FFFFFF" w:themeFill="background1"/>
            <w:vAlign w:val="bottom"/>
          </w:tcPr>
          <w:p w:rsidR="007D2907" w:rsidRPr="007D2907" w:rsidRDefault="007D2907" w:rsidP="006429B8">
            <w:pPr>
              <w:jc w:val="right"/>
              <w:rPr>
                <w:rFonts w:cs="Calibri"/>
                <w:color w:val="000000"/>
                <w:sz w:val="22"/>
                <w:szCs w:val="22"/>
              </w:rPr>
            </w:pPr>
            <w:r w:rsidRPr="007D2907">
              <w:rPr>
                <w:rFonts w:cs="Calibri"/>
                <w:color w:val="000000"/>
                <w:sz w:val="22"/>
                <w:szCs w:val="22"/>
              </w:rPr>
              <w:t>35.5%</w:t>
            </w:r>
          </w:p>
        </w:tc>
        <w:tc>
          <w:tcPr>
            <w:tcW w:w="1638" w:type="dxa"/>
            <w:tcBorders>
              <w:right w:val="single" w:sz="24"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w:t>
            </w:r>
            <w:r w:rsidR="00AA677E">
              <w:rPr>
                <w:rFonts w:cs="Calibri"/>
                <w:color w:val="000000"/>
                <w:sz w:val="22"/>
                <w:szCs w:val="22"/>
              </w:rPr>
              <w:t>$</w:t>
            </w:r>
            <w:r w:rsidR="00CA0FCC">
              <w:rPr>
                <w:rFonts w:cs="Calibri"/>
                <w:color w:val="000000"/>
                <w:sz w:val="22"/>
                <w:szCs w:val="22"/>
              </w:rPr>
              <w:t>532,366</w:t>
            </w:r>
            <w:r w:rsidRPr="007D2907">
              <w:rPr>
                <w:rFonts w:cs="Calibri"/>
                <w:color w:val="000000"/>
                <w:sz w:val="22"/>
                <w:szCs w:val="22"/>
              </w:rPr>
              <w:t xml:space="preserve"> </w:t>
            </w:r>
          </w:p>
        </w:tc>
        <w:tc>
          <w:tcPr>
            <w:tcW w:w="1915" w:type="dxa"/>
            <w:tcBorders>
              <w:top w:val="single" w:sz="2" w:space="0" w:color="auto"/>
              <w:left w:val="single" w:sz="24" w:space="0" w:color="auto"/>
              <w:bottom w:val="single" w:sz="2" w:space="0" w:color="auto"/>
              <w:right w:val="single" w:sz="2"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$5</w:t>
            </w:r>
            <w:r w:rsidR="00914681">
              <w:rPr>
                <w:rFonts w:cs="Calibri"/>
                <w:color w:val="000000"/>
                <w:sz w:val="22"/>
                <w:szCs w:val="22"/>
              </w:rPr>
              <w:t>3</w:t>
            </w:r>
            <w:r w:rsidR="00CA0FCC">
              <w:rPr>
                <w:rFonts w:cs="Calibri"/>
                <w:color w:val="000000"/>
                <w:sz w:val="22"/>
                <w:szCs w:val="22"/>
              </w:rPr>
              <w:t>2</w:t>
            </w:r>
            <w:r w:rsidRPr="007D2907">
              <w:rPr>
                <w:rFonts w:cs="Calibri"/>
                <w:color w:val="000000"/>
                <w:sz w:val="22"/>
                <w:szCs w:val="22"/>
              </w:rPr>
              <w:t xml:space="preserve">,000 </w:t>
            </w:r>
          </w:p>
        </w:tc>
      </w:tr>
      <w:tr w:rsidR="007D2907" w:rsidTr="006429B8">
        <w:tc>
          <w:tcPr>
            <w:tcW w:w="3960" w:type="dxa"/>
            <w:shd w:val="clear" w:color="auto" w:fill="FFFFFF" w:themeFill="background1"/>
          </w:tcPr>
          <w:p w:rsidR="007D2907" w:rsidRPr="00FC43A8" w:rsidRDefault="007D2907"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Pr>
                <w:rFonts w:cs="Times New Roman"/>
                <w:color w:val="000000"/>
                <w:sz w:val="22"/>
                <w:szCs w:val="22"/>
              </w:rPr>
              <w:t>Energy Trust of Oregon</w:t>
            </w:r>
          </w:p>
        </w:tc>
        <w:tc>
          <w:tcPr>
            <w:tcW w:w="1916" w:type="dxa"/>
            <w:shd w:val="clear" w:color="auto" w:fill="FFFFFF" w:themeFill="background1"/>
            <w:vAlign w:val="bottom"/>
          </w:tcPr>
          <w:p w:rsidR="007D2907" w:rsidRPr="007D2907" w:rsidRDefault="007D2907" w:rsidP="006429B8">
            <w:pPr>
              <w:jc w:val="right"/>
              <w:rPr>
                <w:rFonts w:cs="Calibri"/>
                <w:color w:val="000000"/>
                <w:sz w:val="22"/>
                <w:szCs w:val="22"/>
              </w:rPr>
            </w:pPr>
            <w:r w:rsidRPr="007D2907">
              <w:rPr>
                <w:rFonts w:cs="Calibri"/>
                <w:color w:val="000000"/>
                <w:sz w:val="22"/>
                <w:szCs w:val="22"/>
              </w:rPr>
              <w:t>20.5%</w:t>
            </w:r>
          </w:p>
        </w:tc>
        <w:tc>
          <w:tcPr>
            <w:tcW w:w="1638" w:type="dxa"/>
            <w:tcBorders>
              <w:right w:val="single" w:sz="24"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w:t>
            </w:r>
            <w:r w:rsidR="00CA0FCC">
              <w:rPr>
                <w:rFonts w:cs="Calibri"/>
                <w:color w:val="000000"/>
                <w:sz w:val="22"/>
                <w:szCs w:val="22"/>
              </w:rPr>
              <w:t>307,889</w:t>
            </w:r>
            <w:r w:rsidRPr="007D2907">
              <w:rPr>
                <w:rFonts w:cs="Calibri"/>
                <w:color w:val="000000"/>
                <w:sz w:val="22"/>
                <w:szCs w:val="22"/>
              </w:rPr>
              <w:t xml:space="preserve"> </w:t>
            </w:r>
          </w:p>
        </w:tc>
        <w:tc>
          <w:tcPr>
            <w:tcW w:w="1915" w:type="dxa"/>
            <w:tcBorders>
              <w:top w:val="single" w:sz="2" w:space="0" w:color="auto"/>
              <w:left w:val="single" w:sz="24" w:space="0" w:color="auto"/>
              <w:bottom w:val="single" w:sz="2" w:space="0" w:color="auto"/>
              <w:right w:val="single" w:sz="2"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$3</w:t>
            </w:r>
            <w:r w:rsidR="00CA0FCC">
              <w:rPr>
                <w:rFonts w:cs="Calibri"/>
                <w:color w:val="000000"/>
                <w:sz w:val="22"/>
                <w:szCs w:val="22"/>
              </w:rPr>
              <w:t>08</w:t>
            </w:r>
            <w:r w:rsidRPr="007D2907">
              <w:rPr>
                <w:rFonts w:cs="Calibri"/>
                <w:color w:val="000000"/>
                <w:sz w:val="22"/>
                <w:szCs w:val="22"/>
              </w:rPr>
              <w:t xml:space="preserve">,000 </w:t>
            </w:r>
          </w:p>
        </w:tc>
      </w:tr>
      <w:tr w:rsidR="007D2907" w:rsidTr="006429B8">
        <w:tc>
          <w:tcPr>
            <w:tcW w:w="3960" w:type="dxa"/>
            <w:shd w:val="clear" w:color="auto" w:fill="FFFFFF" w:themeFill="background1"/>
          </w:tcPr>
          <w:p w:rsidR="007D2907" w:rsidRPr="00FC43A8" w:rsidRDefault="007D2907"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Pr>
                <w:rFonts w:cs="Times New Roman"/>
                <w:color w:val="000000"/>
                <w:sz w:val="22"/>
                <w:szCs w:val="22"/>
              </w:rPr>
              <w:t>Puget Sound Energy</w:t>
            </w:r>
          </w:p>
        </w:tc>
        <w:tc>
          <w:tcPr>
            <w:tcW w:w="1916" w:type="dxa"/>
            <w:shd w:val="clear" w:color="auto" w:fill="FFFFFF" w:themeFill="background1"/>
            <w:vAlign w:val="bottom"/>
          </w:tcPr>
          <w:p w:rsidR="007D2907" w:rsidRPr="007D2907" w:rsidRDefault="007D2907" w:rsidP="006429B8">
            <w:pPr>
              <w:jc w:val="right"/>
              <w:rPr>
                <w:rFonts w:cs="Calibri"/>
                <w:color w:val="000000"/>
                <w:sz w:val="22"/>
                <w:szCs w:val="22"/>
              </w:rPr>
            </w:pPr>
            <w:r w:rsidRPr="007D2907">
              <w:rPr>
                <w:rFonts w:cs="Calibri"/>
                <w:color w:val="000000"/>
                <w:sz w:val="22"/>
                <w:szCs w:val="22"/>
              </w:rPr>
              <w:t>13.7%</w:t>
            </w:r>
          </w:p>
        </w:tc>
        <w:tc>
          <w:tcPr>
            <w:tcW w:w="1638" w:type="dxa"/>
            <w:tcBorders>
              <w:right w:val="single" w:sz="24"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w:t>
            </w:r>
            <w:r w:rsidR="00CA0FCC">
              <w:rPr>
                <w:rFonts w:cs="Calibri"/>
                <w:color w:val="000000"/>
                <w:sz w:val="22"/>
                <w:szCs w:val="22"/>
              </w:rPr>
              <w:t>205,771</w:t>
            </w:r>
            <w:r w:rsidRPr="007D2907">
              <w:rPr>
                <w:rFonts w:cs="Calibri"/>
                <w:color w:val="000000"/>
                <w:sz w:val="22"/>
                <w:szCs w:val="22"/>
              </w:rPr>
              <w:t xml:space="preserve"> </w:t>
            </w:r>
          </w:p>
        </w:tc>
        <w:tc>
          <w:tcPr>
            <w:tcW w:w="1915" w:type="dxa"/>
            <w:tcBorders>
              <w:top w:val="single" w:sz="2" w:space="0" w:color="auto"/>
              <w:left w:val="single" w:sz="24" w:space="0" w:color="auto"/>
              <w:bottom w:val="single" w:sz="2" w:space="0" w:color="auto"/>
              <w:right w:val="single" w:sz="2"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$2</w:t>
            </w:r>
            <w:r w:rsidR="00CA0FCC">
              <w:rPr>
                <w:rFonts w:cs="Calibri"/>
                <w:color w:val="000000"/>
                <w:sz w:val="22"/>
                <w:szCs w:val="22"/>
              </w:rPr>
              <w:t>06</w:t>
            </w:r>
            <w:r w:rsidRPr="007D2907">
              <w:rPr>
                <w:rFonts w:cs="Calibri"/>
                <w:color w:val="000000"/>
                <w:sz w:val="22"/>
                <w:szCs w:val="22"/>
              </w:rPr>
              <w:t xml:space="preserve">,000 </w:t>
            </w:r>
          </w:p>
        </w:tc>
      </w:tr>
      <w:tr w:rsidR="007D2907" w:rsidTr="006429B8">
        <w:tc>
          <w:tcPr>
            <w:tcW w:w="3960" w:type="dxa"/>
            <w:shd w:val="clear" w:color="auto" w:fill="FFFFFF" w:themeFill="background1"/>
          </w:tcPr>
          <w:p w:rsidR="007D2907" w:rsidRPr="00FC43A8" w:rsidRDefault="007D2907"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Pr>
                <w:rFonts w:cs="Times New Roman"/>
                <w:color w:val="000000"/>
                <w:sz w:val="22"/>
                <w:szCs w:val="22"/>
              </w:rPr>
              <w:t>Idaho Power Company</w:t>
            </w:r>
          </w:p>
        </w:tc>
        <w:tc>
          <w:tcPr>
            <w:tcW w:w="1916" w:type="dxa"/>
            <w:shd w:val="clear" w:color="auto" w:fill="FFFFFF" w:themeFill="background1"/>
            <w:vAlign w:val="bottom"/>
          </w:tcPr>
          <w:p w:rsidR="007D2907" w:rsidRPr="007D2907" w:rsidRDefault="007D2907" w:rsidP="006429B8">
            <w:pPr>
              <w:jc w:val="right"/>
              <w:rPr>
                <w:rFonts w:cs="Calibri"/>
                <w:color w:val="000000"/>
                <w:sz w:val="22"/>
                <w:szCs w:val="22"/>
              </w:rPr>
            </w:pPr>
            <w:r w:rsidRPr="007D2907">
              <w:rPr>
                <w:rFonts w:cs="Calibri"/>
                <w:color w:val="000000"/>
                <w:sz w:val="22"/>
                <w:szCs w:val="22"/>
              </w:rPr>
              <w:t>8.6%</w:t>
            </w:r>
          </w:p>
        </w:tc>
        <w:tc>
          <w:tcPr>
            <w:tcW w:w="1638" w:type="dxa"/>
            <w:tcBorders>
              <w:right w:val="single" w:sz="24"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w:t>
            </w:r>
            <w:r w:rsidR="00CA0FCC">
              <w:rPr>
                <w:rFonts w:cs="Calibri"/>
                <w:color w:val="000000"/>
                <w:sz w:val="22"/>
                <w:szCs w:val="22"/>
              </w:rPr>
              <w:t>129,258</w:t>
            </w:r>
            <w:r w:rsidRPr="007D2907">
              <w:rPr>
                <w:rFonts w:cs="Calibri"/>
                <w:color w:val="000000"/>
                <w:sz w:val="22"/>
                <w:szCs w:val="22"/>
              </w:rPr>
              <w:t xml:space="preserve"> </w:t>
            </w:r>
          </w:p>
        </w:tc>
        <w:tc>
          <w:tcPr>
            <w:tcW w:w="1915" w:type="dxa"/>
            <w:tcBorders>
              <w:top w:val="single" w:sz="2" w:space="0" w:color="auto"/>
              <w:left w:val="single" w:sz="24" w:space="0" w:color="auto"/>
              <w:bottom w:val="single" w:sz="2" w:space="0" w:color="auto"/>
              <w:right w:val="single" w:sz="2"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$1</w:t>
            </w:r>
            <w:r w:rsidR="00CA0FCC">
              <w:rPr>
                <w:rFonts w:cs="Calibri"/>
                <w:color w:val="000000"/>
                <w:sz w:val="22"/>
                <w:szCs w:val="22"/>
              </w:rPr>
              <w:t>29</w:t>
            </w:r>
            <w:r w:rsidRPr="007D2907">
              <w:rPr>
                <w:rFonts w:cs="Calibri"/>
                <w:color w:val="000000"/>
                <w:sz w:val="22"/>
                <w:szCs w:val="22"/>
              </w:rPr>
              <w:t xml:space="preserve">,000 </w:t>
            </w:r>
          </w:p>
        </w:tc>
      </w:tr>
      <w:tr w:rsidR="007D2907" w:rsidTr="006429B8">
        <w:tc>
          <w:tcPr>
            <w:tcW w:w="3960" w:type="dxa"/>
            <w:shd w:val="clear" w:color="auto" w:fill="FFFFFF" w:themeFill="background1"/>
          </w:tcPr>
          <w:p w:rsidR="007D2907" w:rsidRPr="00FC43A8" w:rsidRDefault="007D2907"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Pr>
                <w:rFonts w:cs="Times New Roman"/>
                <w:color w:val="000000"/>
                <w:sz w:val="22"/>
                <w:szCs w:val="22"/>
              </w:rPr>
              <w:t>Avista Corporation, Inc.</w:t>
            </w:r>
          </w:p>
        </w:tc>
        <w:tc>
          <w:tcPr>
            <w:tcW w:w="1916" w:type="dxa"/>
            <w:shd w:val="clear" w:color="auto" w:fill="FFFFFF" w:themeFill="background1"/>
            <w:vAlign w:val="bottom"/>
          </w:tcPr>
          <w:p w:rsidR="007D2907" w:rsidRPr="007D2907" w:rsidRDefault="007D2907" w:rsidP="006429B8">
            <w:pPr>
              <w:jc w:val="right"/>
              <w:rPr>
                <w:rFonts w:cs="Calibri"/>
                <w:color w:val="000000"/>
                <w:sz w:val="22"/>
                <w:szCs w:val="22"/>
              </w:rPr>
            </w:pPr>
            <w:r w:rsidRPr="007D2907">
              <w:rPr>
                <w:rFonts w:cs="Calibri"/>
                <w:color w:val="000000"/>
                <w:sz w:val="22"/>
                <w:szCs w:val="22"/>
              </w:rPr>
              <w:t>5.5%</w:t>
            </w:r>
          </w:p>
        </w:tc>
        <w:tc>
          <w:tcPr>
            <w:tcW w:w="1638" w:type="dxa"/>
            <w:tcBorders>
              <w:right w:val="single" w:sz="24"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w:t>
            </w:r>
            <w:r w:rsidR="00CA0FCC">
              <w:rPr>
                <w:rFonts w:cs="Calibri"/>
                <w:color w:val="000000"/>
                <w:sz w:val="22"/>
                <w:szCs w:val="22"/>
              </w:rPr>
              <w:t>82,952</w:t>
            </w:r>
            <w:r w:rsidRPr="007D2907">
              <w:rPr>
                <w:rFonts w:cs="Calibri"/>
                <w:color w:val="000000"/>
                <w:sz w:val="22"/>
                <w:szCs w:val="22"/>
              </w:rPr>
              <w:t xml:space="preserve"> </w:t>
            </w:r>
          </w:p>
        </w:tc>
        <w:tc>
          <w:tcPr>
            <w:tcW w:w="1915" w:type="dxa"/>
            <w:tcBorders>
              <w:top w:val="single" w:sz="2" w:space="0" w:color="auto"/>
              <w:left w:val="single" w:sz="24" w:space="0" w:color="auto"/>
              <w:bottom w:val="single" w:sz="2" w:space="0" w:color="auto"/>
              <w:right w:val="single" w:sz="2"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$8</w:t>
            </w:r>
            <w:r w:rsidR="00CA0FCC">
              <w:rPr>
                <w:rFonts w:cs="Calibri"/>
                <w:color w:val="000000"/>
                <w:sz w:val="22"/>
                <w:szCs w:val="22"/>
              </w:rPr>
              <w:t>3</w:t>
            </w:r>
            <w:r w:rsidRPr="007D2907">
              <w:rPr>
                <w:rFonts w:cs="Calibri"/>
                <w:color w:val="000000"/>
                <w:sz w:val="22"/>
                <w:szCs w:val="22"/>
              </w:rPr>
              <w:t xml:space="preserve">,000 </w:t>
            </w:r>
          </w:p>
        </w:tc>
      </w:tr>
      <w:tr w:rsidR="007D2907" w:rsidTr="006429B8">
        <w:tc>
          <w:tcPr>
            <w:tcW w:w="3960" w:type="dxa"/>
            <w:shd w:val="clear" w:color="auto" w:fill="FFFFFF" w:themeFill="background1"/>
          </w:tcPr>
          <w:p w:rsidR="007D2907" w:rsidRPr="00FC43A8" w:rsidRDefault="007D2907"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Pr>
                <w:rFonts w:cs="Times New Roman"/>
                <w:color w:val="000000"/>
                <w:sz w:val="22"/>
                <w:szCs w:val="22"/>
              </w:rPr>
              <w:t>PacifiCorp</w:t>
            </w:r>
          </w:p>
        </w:tc>
        <w:tc>
          <w:tcPr>
            <w:tcW w:w="1916" w:type="dxa"/>
            <w:shd w:val="clear" w:color="auto" w:fill="FFFFFF" w:themeFill="background1"/>
            <w:vAlign w:val="bottom"/>
          </w:tcPr>
          <w:p w:rsidR="007D2907" w:rsidRPr="007D2907" w:rsidRDefault="007D2907" w:rsidP="006429B8">
            <w:pPr>
              <w:jc w:val="right"/>
              <w:rPr>
                <w:rFonts w:cs="Calibri"/>
                <w:color w:val="000000"/>
                <w:sz w:val="22"/>
                <w:szCs w:val="22"/>
              </w:rPr>
            </w:pPr>
            <w:r w:rsidRPr="007D2907">
              <w:rPr>
                <w:rFonts w:cs="Calibri"/>
                <w:color w:val="000000"/>
                <w:sz w:val="22"/>
                <w:szCs w:val="22"/>
              </w:rPr>
              <w:t>4.5%</w:t>
            </w:r>
          </w:p>
        </w:tc>
        <w:tc>
          <w:tcPr>
            <w:tcW w:w="1638" w:type="dxa"/>
            <w:tcBorders>
              <w:right w:val="single" w:sz="24"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w:t>
            </w:r>
            <w:r w:rsidR="00CA0FCC">
              <w:rPr>
                <w:rFonts w:cs="Calibri"/>
                <w:color w:val="000000"/>
                <w:sz w:val="22"/>
                <w:szCs w:val="22"/>
              </w:rPr>
              <w:t>67,619</w:t>
            </w:r>
            <w:r w:rsidRPr="007D2907">
              <w:rPr>
                <w:rFonts w:cs="Calibri"/>
                <w:color w:val="000000"/>
                <w:sz w:val="22"/>
                <w:szCs w:val="22"/>
              </w:rPr>
              <w:t xml:space="preserve"> </w:t>
            </w:r>
          </w:p>
        </w:tc>
        <w:tc>
          <w:tcPr>
            <w:tcW w:w="1915" w:type="dxa"/>
            <w:tcBorders>
              <w:top w:val="single" w:sz="2" w:space="0" w:color="auto"/>
              <w:left w:val="single" w:sz="24" w:space="0" w:color="auto"/>
              <w:bottom w:val="single" w:sz="2" w:space="0" w:color="auto"/>
              <w:right w:val="single" w:sz="2"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w:t>
            </w:r>
            <w:r w:rsidR="00CA0FCC">
              <w:rPr>
                <w:rFonts w:cs="Calibri"/>
                <w:color w:val="000000"/>
                <w:sz w:val="22"/>
                <w:szCs w:val="22"/>
              </w:rPr>
              <w:t>68,</w:t>
            </w:r>
            <w:r w:rsidRPr="007D2907">
              <w:rPr>
                <w:rFonts w:cs="Calibri"/>
                <w:color w:val="000000"/>
                <w:sz w:val="22"/>
                <w:szCs w:val="22"/>
              </w:rPr>
              <w:t xml:space="preserve">000 </w:t>
            </w:r>
          </w:p>
        </w:tc>
      </w:tr>
      <w:tr w:rsidR="007D2907" w:rsidTr="006429B8">
        <w:tc>
          <w:tcPr>
            <w:tcW w:w="3960" w:type="dxa"/>
            <w:shd w:val="clear" w:color="auto" w:fill="FFFFFF" w:themeFill="background1"/>
          </w:tcPr>
          <w:p w:rsidR="007D2907" w:rsidRPr="00FC43A8" w:rsidRDefault="007D2907"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Pr>
                <w:rFonts w:cs="Times New Roman"/>
                <w:color w:val="000000"/>
                <w:sz w:val="22"/>
                <w:szCs w:val="22"/>
              </w:rPr>
              <w:t>Northwestern Energy</w:t>
            </w:r>
          </w:p>
        </w:tc>
        <w:tc>
          <w:tcPr>
            <w:tcW w:w="1916" w:type="dxa"/>
            <w:shd w:val="clear" w:color="auto" w:fill="FFFFFF" w:themeFill="background1"/>
            <w:vAlign w:val="bottom"/>
          </w:tcPr>
          <w:p w:rsidR="007D2907" w:rsidRPr="007D2907" w:rsidRDefault="007D2907" w:rsidP="006429B8">
            <w:pPr>
              <w:jc w:val="right"/>
              <w:rPr>
                <w:rFonts w:cs="Calibri"/>
                <w:color w:val="000000"/>
                <w:sz w:val="22"/>
                <w:szCs w:val="22"/>
              </w:rPr>
            </w:pPr>
            <w:r w:rsidRPr="007D2907">
              <w:rPr>
                <w:rFonts w:cs="Calibri"/>
                <w:color w:val="000000"/>
                <w:sz w:val="22"/>
                <w:szCs w:val="22"/>
              </w:rPr>
              <w:t>3.8%</w:t>
            </w:r>
          </w:p>
        </w:tc>
        <w:tc>
          <w:tcPr>
            <w:tcW w:w="1638" w:type="dxa"/>
            <w:tcBorders>
              <w:right w:val="single" w:sz="24"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w:t>
            </w:r>
            <w:r w:rsidR="00CA0FCC">
              <w:rPr>
                <w:rFonts w:cs="Calibri"/>
                <w:color w:val="000000"/>
                <w:sz w:val="22"/>
                <w:szCs w:val="22"/>
              </w:rPr>
              <w:t>57,193</w:t>
            </w:r>
            <w:r w:rsidRPr="007D2907">
              <w:rPr>
                <w:rFonts w:cs="Calibri"/>
                <w:color w:val="000000"/>
                <w:sz w:val="22"/>
                <w:szCs w:val="22"/>
              </w:rPr>
              <w:t xml:space="preserve"> </w:t>
            </w:r>
          </w:p>
        </w:tc>
        <w:tc>
          <w:tcPr>
            <w:tcW w:w="1915" w:type="dxa"/>
            <w:tcBorders>
              <w:top w:val="single" w:sz="2" w:space="0" w:color="auto"/>
              <w:left w:val="single" w:sz="24" w:space="0" w:color="auto"/>
              <w:bottom w:val="single" w:sz="2" w:space="0" w:color="auto"/>
              <w:right w:val="single" w:sz="2"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$30,000 </w:t>
            </w:r>
          </w:p>
        </w:tc>
      </w:tr>
      <w:tr w:rsidR="007D2907" w:rsidTr="006429B8">
        <w:tc>
          <w:tcPr>
            <w:tcW w:w="3960" w:type="dxa"/>
            <w:shd w:val="clear" w:color="auto" w:fill="FFFFFF" w:themeFill="background1"/>
          </w:tcPr>
          <w:p w:rsidR="007D2907" w:rsidRPr="00FC43A8" w:rsidRDefault="007D2907"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Pr>
                <w:rFonts w:cs="Times New Roman"/>
                <w:color w:val="000000"/>
                <w:sz w:val="22"/>
                <w:szCs w:val="22"/>
              </w:rPr>
              <w:t>Seattle City Light</w:t>
            </w:r>
          </w:p>
        </w:tc>
        <w:tc>
          <w:tcPr>
            <w:tcW w:w="1916" w:type="dxa"/>
            <w:shd w:val="clear" w:color="auto" w:fill="FFFFFF" w:themeFill="background1"/>
            <w:vAlign w:val="bottom"/>
          </w:tcPr>
          <w:p w:rsidR="007D2907" w:rsidRPr="007D2907" w:rsidRDefault="007D2907" w:rsidP="006429B8">
            <w:pPr>
              <w:jc w:val="right"/>
              <w:rPr>
                <w:rFonts w:cs="Calibri"/>
                <w:color w:val="000000"/>
                <w:sz w:val="22"/>
                <w:szCs w:val="22"/>
              </w:rPr>
            </w:pPr>
            <w:r w:rsidRPr="007D2907">
              <w:rPr>
                <w:rFonts w:cs="Calibri"/>
                <w:color w:val="000000"/>
                <w:sz w:val="22"/>
                <w:szCs w:val="22"/>
              </w:rPr>
              <w:t>3.7%</w:t>
            </w:r>
          </w:p>
        </w:tc>
        <w:tc>
          <w:tcPr>
            <w:tcW w:w="1638" w:type="dxa"/>
            <w:tcBorders>
              <w:right w:val="single" w:sz="24"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w:t>
            </w:r>
            <w:r w:rsidR="00CA0FCC">
              <w:rPr>
                <w:rFonts w:cs="Calibri"/>
                <w:color w:val="000000"/>
                <w:sz w:val="22"/>
                <w:szCs w:val="22"/>
              </w:rPr>
              <w:t>55,813</w:t>
            </w:r>
            <w:r w:rsidRPr="007D2907">
              <w:rPr>
                <w:rFonts w:cs="Calibri"/>
                <w:color w:val="000000"/>
                <w:sz w:val="22"/>
                <w:szCs w:val="22"/>
              </w:rPr>
              <w:t xml:space="preserve"> </w:t>
            </w:r>
          </w:p>
        </w:tc>
        <w:tc>
          <w:tcPr>
            <w:tcW w:w="1915" w:type="dxa"/>
            <w:tcBorders>
              <w:top w:val="single" w:sz="2" w:space="0" w:color="auto"/>
              <w:left w:val="single" w:sz="24" w:space="0" w:color="auto"/>
              <w:bottom w:val="single" w:sz="2" w:space="0" w:color="auto"/>
              <w:right w:val="single" w:sz="2"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$5</w:t>
            </w:r>
            <w:r w:rsidR="00CA0FCC">
              <w:rPr>
                <w:rFonts w:cs="Calibri"/>
                <w:color w:val="000000"/>
                <w:sz w:val="22"/>
                <w:szCs w:val="22"/>
              </w:rPr>
              <w:t>6</w:t>
            </w:r>
            <w:r w:rsidRPr="007D2907">
              <w:rPr>
                <w:rFonts w:cs="Calibri"/>
                <w:color w:val="000000"/>
                <w:sz w:val="22"/>
                <w:szCs w:val="22"/>
              </w:rPr>
              <w:t xml:space="preserve">,000 </w:t>
            </w:r>
          </w:p>
        </w:tc>
      </w:tr>
      <w:tr w:rsidR="007D2907" w:rsidTr="006429B8">
        <w:tc>
          <w:tcPr>
            <w:tcW w:w="3960" w:type="dxa"/>
            <w:shd w:val="clear" w:color="auto" w:fill="FFFFFF" w:themeFill="background1"/>
          </w:tcPr>
          <w:p w:rsidR="007D2907" w:rsidRPr="00FC43A8" w:rsidRDefault="007D2907"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Pr>
                <w:rFonts w:cs="Times New Roman"/>
                <w:color w:val="000000"/>
                <w:sz w:val="22"/>
                <w:szCs w:val="22"/>
              </w:rPr>
              <w:t>Clark Public Utilities</w:t>
            </w:r>
          </w:p>
        </w:tc>
        <w:tc>
          <w:tcPr>
            <w:tcW w:w="1916" w:type="dxa"/>
            <w:shd w:val="clear" w:color="auto" w:fill="FFFFFF" w:themeFill="background1"/>
            <w:vAlign w:val="bottom"/>
          </w:tcPr>
          <w:p w:rsidR="007D2907" w:rsidRPr="007D2907" w:rsidRDefault="007D2907" w:rsidP="006429B8">
            <w:pPr>
              <w:jc w:val="right"/>
              <w:rPr>
                <w:rFonts w:cs="Calibri"/>
                <w:color w:val="000000"/>
                <w:sz w:val="22"/>
                <w:szCs w:val="22"/>
              </w:rPr>
            </w:pPr>
            <w:r w:rsidRPr="007D2907">
              <w:rPr>
                <w:rFonts w:cs="Calibri"/>
                <w:color w:val="000000"/>
                <w:sz w:val="22"/>
                <w:szCs w:val="22"/>
              </w:rPr>
              <w:t>1.4%</w:t>
            </w:r>
          </w:p>
        </w:tc>
        <w:tc>
          <w:tcPr>
            <w:tcW w:w="1638" w:type="dxa"/>
            <w:tcBorders>
              <w:right w:val="single" w:sz="24"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w:t>
            </w:r>
            <w:r w:rsidR="00CA0FCC">
              <w:rPr>
                <w:rFonts w:cs="Calibri"/>
                <w:color w:val="000000"/>
                <w:sz w:val="22"/>
                <w:szCs w:val="22"/>
              </w:rPr>
              <w:t>20,395</w:t>
            </w:r>
            <w:r w:rsidRPr="007D2907">
              <w:rPr>
                <w:rFonts w:cs="Calibri"/>
                <w:color w:val="000000"/>
                <w:sz w:val="22"/>
                <w:szCs w:val="22"/>
              </w:rPr>
              <w:t xml:space="preserve"> </w:t>
            </w:r>
          </w:p>
        </w:tc>
        <w:tc>
          <w:tcPr>
            <w:tcW w:w="1915" w:type="dxa"/>
            <w:tcBorders>
              <w:top w:val="single" w:sz="2" w:space="0" w:color="auto"/>
              <w:left w:val="single" w:sz="24" w:space="0" w:color="auto"/>
              <w:bottom w:val="single" w:sz="2" w:space="0" w:color="auto"/>
              <w:right w:val="single" w:sz="2"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$2</w:t>
            </w:r>
            <w:r w:rsidR="00CA0FCC">
              <w:rPr>
                <w:rFonts w:cs="Calibri"/>
                <w:color w:val="000000"/>
                <w:sz w:val="22"/>
                <w:szCs w:val="22"/>
              </w:rPr>
              <w:t>0</w:t>
            </w:r>
            <w:r w:rsidRPr="007D2907">
              <w:rPr>
                <w:rFonts w:cs="Calibri"/>
                <w:color w:val="000000"/>
                <w:sz w:val="22"/>
                <w:szCs w:val="22"/>
              </w:rPr>
              <w:t xml:space="preserve">,000 </w:t>
            </w:r>
          </w:p>
        </w:tc>
      </w:tr>
      <w:tr w:rsidR="007D2907" w:rsidTr="006429B8">
        <w:tc>
          <w:tcPr>
            <w:tcW w:w="3960" w:type="dxa"/>
            <w:shd w:val="clear" w:color="auto" w:fill="FFFFFF" w:themeFill="background1"/>
          </w:tcPr>
          <w:p w:rsidR="007D2907" w:rsidRDefault="007D2907"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Pr>
                <w:rFonts w:cs="Times New Roman"/>
                <w:color w:val="000000"/>
                <w:sz w:val="22"/>
                <w:szCs w:val="22"/>
              </w:rPr>
              <w:t>Tacoma Power</w:t>
            </w:r>
          </w:p>
        </w:tc>
        <w:tc>
          <w:tcPr>
            <w:tcW w:w="1916" w:type="dxa"/>
            <w:shd w:val="clear" w:color="auto" w:fill="FFFFFF" w:themeFill="background1"/>
            <w:vAlign w:val="bottom"/>
          </w:tcPr>
          <w:p w:rsidR="007D2907" w:rsidRPr="007D2907" w:rsidRDefault="007D2907" w:rsidP="006429B8">
            <w:pPr>
              <w:jc w:val="right"/>
              <w:rPr>
                <w:rFonts w:cs="Calibri"/>
                <w:color w:val="000000"/>
                <w:sz w:val="22"/>
                <w:szCs w:val="22"/>
              </w:rPr>
            </w:pPr>
            <w:r w:rsidRPr="007D2907">
              <w:rPr>
                <w:rFonts w:cs="Calibri"/>
                <w:color w:val="000000"/>
                <w:sz w:val="22"/>
                <w:szCs w:val="22"/>
              </w:rPr>
              <w:t>1.1%</w:t>
            </w:r>
          </w:p>
        </w:tc>
        <w:tc>
          <w:tcPr>
            <w:tcW w:w="1638" w:type="dxa"/>
            <w:tcBorders>
              <w:right w:val="single" w:sz="24"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w:t>
            </w:r>
            <w:r w:rsidR="00CA0FCC">
              <w:rPr>
                <w:rFonts w:cs="Calibri"/>
                <w:color w:val="000000"/>
                <w:sz w:val="22"/>
                <w:szCs w:val="22"/>
              </w:rPr>
              <w:t>16,866</w:t>
            </w:r>
            <w:r w:rsidRPr="007D2907">
              <w:rPr>
                <w:rFonts w:cs="Calibri"/>
                <w:color w:val="000000"/>
                <w:sz w:val="22"/>
                <w:szCs w:val="22"/>
              </w:rPr>
              <w:t xml:space="preserve"> </w:t>
            </w:r>
          </w:p>
        </w:tc>
        <w:tc>
          <w:tcPr>
            <w:tcW w:w="1915" w:type="dxa"/>
            <w:tcBorders>
              <w:top w:val="single" w:sz="2" w:space="0" w:color="auto"/>
              <w:left w:val="single" w:sz="24" w:space="0" w:color="auto"/>
              <w:bottom w:val="single" w:sz="2" w:space="0" w:color="auto"/>
              <w:right w:val="single" w:sz="2"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$1</w:t>
            </w:r>
            <w:r w:rsidR="00CA0FCC">
              <w:rPr>
                <w:rFonts w:cs="Calibri"/>
                <w:color w:val="000000"/>
                <w:sz w:val="22"/>
                <w:szCs w:val="22"/>
              </w:rPr>
              <w:t>7</w:t>
            </w:r>
            <w:r w:rsidRPr="007D2907">
              <w:rPr>
                <w:rFonts w:cs="Calibri"/>
                <w:color w:val="000000"/>
                <w:sz w:val="22"/>
                <w:szCs w:val="22"/>
              </w:rPr>
              <w:t xml:space="preserve">,000 </w:t>
            </w:r>
          </w:p>
        </w:tc>
      </w:tr>
      <w:tr w:rsidR="007D2907" w:rsidTr="006429B8">
        <w:tc>
          <w:tcPr>
            <w:tcW w:w="3960" w:type="dxa"/>
            <w:shd w:val="clear" w:color="auto" w:fill="FFFFFF" w:themeFill="background1"/>
          </w:tcPr>
          <w:p w:rsidR="007D2907" w:rsidRDefault="007D2907"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Pr>
                <w:rFonts w:cs="Times New Roman"/>
                <w:color w:val="000000"/>
                <w:sz w:val="22"/>
                <w:szCs w:val="22"/>
              </w:rPr>
              <w:t xml:space="preserve">Snohomish PUD </w:t>
            </w:r>
          </w:p>
        </w:tc>
        <w:tc>
          <w:tcPr>
            <w:tcW w:w="1916" w:type="dxa"/>
            <w:shd w:val="clear" w:color="auto" w:fill="FFFFFF" w:themeFill="background1"/>
            <w:vAlign w:val="bottom"/>
          </w:tcPr>
          <w:p w:rsidR="007D2907" w:rsidRPr="007D2907" w:rsidRDefault="007D2907" w:rsidP="006429B8">
            <w:pPr>
              <w:jc w:val="right"/>
              <w:rPr>
                <w:rFonts w:cs="Calibri"/>
                <w:color w:val="000000"/>
                <w:sz w:val="22"/>
                <w:szCs w:val="22"/>
              </w:rPr>
            </w:pPr>
            <w:r w:rsidRPr="007D2907">
              <w:rPr>
                <w:rFonts w:cs="Calibri"/>
                <w:color w:val="000000"/>
                <w:sz w:val="22"/>
                <w:szCs w:val="22"/>
              </w:rPr>
              <w:t>0.8%</w:t>
            </w:r>
          </w:p>
        </w:tc>
        <w:tc>
          <w:tcPr>
            <w:tcW w:w="1638" w:type="dxa"/>
            <w:tcBorders>
              <w:right w:val="single" w:sz="24"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w:t>
            </w:r>
            <w:r w:rsidR="00CA0FCC">
              <w:rPr>
                <w:rFonts w:cs="Calibri"/>
                <w:color w:val="000000"/>
                <w:sz w:val="22"/>
                <w:szCs w:val="22"/>
              </w:rPr>
              <w:t>11,807</w:t>
            </w:r>
            <w:r w:rsidRPr="007D2907">
              <w:rPr>
                <w:rFonts w:cs="Calibri"/>
                <w:color w:val="000000"/>
                <w:sz w:val="22"/>
                <w:szCs w:val="22"/>
              </w:rPr>
              <w:t xml:space="preserve"> </w:t>
            </w:r>
          </w:p>
        </w:tc>
        <w:tc>
          <w:tcPr>
            <w:tcW w:w="1915" w:type="dxa"/>
            <w:tcBorders>
              <w:top w:val="single" w:sz="2" w:space="0" w:color="auto"/>
              <w:left w:val="single" w:sz="24" w:space="0" w:color="auto"/>
              <w:bottom w:val="single" w:sz="2" w:space="0" w:color="auto"/>
              <w:right w:val="single" w:sz="2"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$12,000 </w:t>
            </w:r>
          </w:p>
        </w:tc>
      </w:tr>
      <w:tr w:rsidR="007D2907" w:rsidTr="006429B8">
        <w:tc>
          <w:tcPr>
            <w:tcW w:w="3960" w:type="dxa"/>
            <w:shd w:val="clear" w:color="auto" w:fill="FFFFFF" w:themeFill="background1"/>
          </w:tcPr>
          <w:p w:rsidR="007D2907" w:rsidRDefault="007D2907"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Pr>
                <w:rFonts w:cs="Times New Roman"/>
                <w:color w:val="000000"/>
                <w:sz w:val="22"/>
                <w:szCs w:val="22"/>
              </w:rPr>
              <w:t>Eugene Water and Electric Board</w:t>
            </w:r>
          </w:p>
        </w:tc>
        <w:tc>
          <w:tcPr>
            <w:tcW w:w="1916" w:type="dxa"/>
            <w:shd w:val="clear" w:color="auto" w:fill="FFFFFF" w:themeFill="background1"/>
            <w:vAlign w:val="bottom"/>
          </w:tcPr>
          <w:p w:rsidR="007D2907" w:rsidRPr="007D2907" w:rsidRDefault="007D2907" w:rsidP="006429B8">
            <w:pPr>
              <w:jc w:val="right"/>
              <w:rPr>
                <w:rFonts w:cs="Calibri"/>
                <w:color w:val="000000"/>
                <w:sz w:val="22"/>
                <w:szCs w:val="22"/>
              </w:rPr>
            </w:pPr>
            <w:r w:rsidRPr="007D2907">
              <w:rPr>
                <w:rFonts w:cs="Calibri"/>
                <w:color w:val="000000"/>
                <w:sz w:val="22"/>
                <w:szCs w:val="22"/>
              </w:rPr>
              <w:t>0.5%</w:t>
            </w:r>
          </w:p>
        </w:tc>
        <w:tc>
          <w:tcPr>
            <w:tcW w:w="1638" w:type="dxa"/>
            <w:tcBorders>
              <w:right w:val="single" w:sz="24"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w:t>
            </w:r>
            <w:r w:rsidR="00CA0FCC">
              <w:rPr>
                <w:rFonts w:cs="Calibri"/>
                <w:color w:val="000000"/>
                <w:sz w:val="22"/>
                <w:szCs w:val="22"/>
              </w:rPr>
              <w:t>7,778</w:t>
            </w:r>
            <w:r w:rsidRPr="007D2907">
              <w:rPr>
                <w:rFonts w:cs="Calibri"/>
                <w:color w:val="000000"/>
                <w:sz w:val="22"/>
                <w:szCs w:val="22"/>
              </w:rPr>
              <w:t xml:space="preserve"> </w:t>
            </w:r>
          </w:p>
        </w:tc>
        <w:tc>
          <w:tcPr>
            <w:tcW w:w="1915" w:type="dxa"/>
            <w:tcBorders>
              <w:top w:val="single" w:sz="2" w:space="0" w:color="auto"/>
              <w:left w:val="single" w:sz="24" w:space="0" w:color="auto"/>
              <w:bottom w:val="single" w:sz="2" w:space="0" w:color="auto"/>
              <w:right w:val="single" w:sz="2"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$8,000 </w:t>
            </w:r>
          </w:p>
        </w:tc>
      </w:tr>
      <w:tr w:rsidR="007D2907" w:rsidTr="006429B8">
        <w:tc>
          <w:tcPr>
            <w:tcW w:w="3960" w:type="dxa"/>
            <w:shd w:val="clear" w:color="auto" w:fill="FFFFFF" w:themeFill="background1"/>
          </w:tcPr>
          <w:p w:rsidR="007D2907" w:rsidRDefault="007D2907"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Pr>
                <w:rFonts w:cs="Times New Roman"/>
                <w:color w:val="000000"/>
                <w:sz w:val="22"/>
                <w:szCs w:val="22"/>
              </w:rPr>
              <w:t xml:space="preserve">Cowlitz County PUD </w:t>
            </w:r>
          </w:p>
        </w:tc>
        <w:tc>
          <w:tcPr>
            <w:tcW w:w="1916" w:type="dxa"/>
            <w:shd w:val="clear" w:color="auto" w:fill="FFFFFF" w:themeFill="background1"/>
            <w:vAlign w:val="bottom"/>
          </w:tcPr>
          <w:p w:rsidR="007D2907" w:rsidRPr="007D2907" w:rsidRDefault="007D2907" w:rsidP="006429B8">
            <w:pPr>
              <w:jc w:val="right"/>
              <w:rPr>
                <w:rFonts w:cs="Calibri"/>
                <w:color w:val="000000"/>
                <w:sz w:val="22"/>
                <w:szCs w:val="22"/>
              </w:rPr>
            </w:pPr>
            <w:r w:rsidRPr="007D2907">
              <w:rPr>
                <w:rFonts w:cs="Calibri"/>
                <w:color w:val="000000"/>
                <w:sz w:val="22"/>
                <w:szCs w:val="22"/>
              </w:rPr>
              <w:t>0.3%</w:t>
            </w:r>
          </w:p>
        </w:tc>
        <w:tc>
          <w:tcPr>
            <w:tcW w:w="1638" w:type="dxa"/>
            <w:tcBorders>
              <w:right w:val="single" w:sz="24"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$4,</w:t>
            </w:r>
            <w:r w:rsidR="00CA0FCC">
              <w:rPr>
                <w:rFonts w:cs="Calibri"/>
                <w:color w:val="000000"/>
                <w:sz w:val="22"/>
                <w:szCs w:val="22"/>
              </w:rPr>
              <w:t>293</w:t>
            </w:r>
            <w:r w:rsidRPr="007D2907">
              <w:rPr>
                <w:rFonts w:cs="Calibri"/>
                <w:color w:val="000000"/>
                <w:sz w:val="22"/>
                <w:szCs w:val="22"/>
              </w:rPr>
              <w:t xml:space="preserve"> </w:t>
            </w:r>
          </w:p>
        </w:tc>
        <w:tc>
          <w:tcPr>
            <w:tcW w:w="1915" w:type="dxa"/>
            <w:tcBorders>
              <w:top w:val="single" w:sz="2" w:space="0" w:color="auto"/>
              <w:left w:val="single" w:sz="24" w:space="0" w:color="auto"/>
              <w:bottom w:val="single" w:sz="2" w:space="0" w:color="auto"/>
              <w:right w:val="single" w:sz="2" w:space="0" w:color="auto"/>
            </w:tcBorders>
            <w:shd w:val="clear" w:color="auto" w:fill="FFFFFF" w:themeFill="background1"/>
            <w:vAlign w:val="bottom"/>
          </w:tcPr>
          <w:p w:rsidR="007D2907" w:rsidRPr="007D2907" w:rsidRDefault="007D2907" w:rsidP="00AA677E">
            <w:pPr>
              <w:jc w:val="right"/>
              <w:rPr>
                <w:rFonts w:cs="Calibri"/>
                <w:color w:val="000000"/>
                <w:sz w:val="22"/>
                <w:szCs w:val="22"/>
              </w:rPr>
            </w:pPr>
            <w:r w:rsidRPr="007D2907">
              <w:rPr>
                <w:rFonts w:cs="Calibri"/>
                <w:color w:val="000000"/>
                <w:sz w:val="22"/>
                <w:szCs w:val="22"/>
              </w:rPr>
              <w:t xml:space="preserve"> $</w:t>
            </w:r>
            <w:r w:rsidR="00CA0FCC">
              <w:rPr>
                <w:rFonts w:cs="Calibri"/>
                <w:color w:val="000000"/>
                <w:sz w:val="22"/>
                <w:szCs w:val="22"/>
              </w:rPr>
              <w:t>4</w:t>
            </w:r>
            <w:r w:rsidRPr="007D2907">
              <w:rPr>
                <w:rFonts w:cs="Calibri"/>
                <w:color w:val="000000"/>
                <w:sz w:val="22"/>
                <w:szCs w:val="22"/>
              </w:rPr>
              <w:t xml:space="preserve">,000 </w:t>
            </w:r>
          </w:p>
        </w:tc>
      </w:tr>
      <w:tr w:rsidR="007D2907" w:rsidTr="006429B8">
        <w:tc>
          <w:tcPr>
            <w:tcW w:w="3960" w:type="dxa"/>
            <w:shd w:val="clear" w:color="auto" w:fill="D9D9D9" w:themeFill="background1" w:themeFillShade="D9"/>
          </w:tcPr>
          <w:p w:rsidR="007D2907" w:rsidRPr="00FC43A8" w:rsidRDefault="007D2907" w:rsidP="006429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r w:rsidRPr="00FC43A8">
              <w:rPr>
                <w:rFonts w:cs="Times New Roman"/>
                <w:b/>
                <w:color w:val="000000"/>
              </w:rPr>
              <w:t xml:space="preserve">Total </w:t>
            </w:r>
            <w:r>
              <w:rPr>
                <w:rFonts w:cs="Times New Roman"/>
                <w:b/>
                <w:color w:val="000000"/>
              </w:rPr>
              <w:t>Funds</w:t>
            </w:r>
          </w:p>
        </w:tc>
        <w:tc>
          <w:tcPr>
            <w:tcW w:w="1916" w:type="dxa"/>
            <w:shd w:val="clear" w:color="auto" w:fill="D9D9D9" w:themeFill="background1" w:themeFillShade="D9"/>
            <w:vAlign w:val="bottom"/>
          </w:tcPr>
          <w:p w:rsidR="007D2907" w:rsidRPr="007D2907" w:rsidRDefault="007D2907" w:rsidP="006429B8">
            <w:pPr>
              <w:jc w:val="right"/>
              <w:rPr>
                <w:rFonts w:cs="Calibri"/>
                <w:b/>
                <w:bCs/>
                <w:color w:val="000000"/>
                <w:sz w:val="22"/>
                <w:szCs w:val="22"/>
              </w:rPr>
            </w:pPr>
            <w:r w:rsidRPr="007D2907">
              <w:rPr>
                <w:rFonts w:cs="Calibri"/>
                <w:b/>
                <w:bCs/>
                <w:color w:val="000000"/>
                <w:sz w:val="22"/>
                <w:szCs w:val="22"/>
              </w:rPr>
              <w:t>100.0%</w:t>
            </w:r>
          </w:p>
        </w:tc>
        <w:tc>
          <w:tcPr>
            <w:tcW w:w="1638" w:type="dxa"/>
            <w:tcBorders>
              <w:right w:val="single" w:sz="24" w:space="0" w:color="auto"/>
            </w:tcBorders>
            <w:shd w:val="clear" w:color="auto" w:fill="D9D9D9" w:themeFill="background1" w:themeFillShade="D9"/>
            <w:vAlign w:val="bottom"/>
          </w:tcPr>
          <w:p w:rsidR="007D2907" w:rsidRPr="007D2907" w:rsidRDefault="007D2907" w:rsidP="00AA677E">
            <w:pPr>
              <w:jc w:val="right"/>
              <w:rPr>
                <w:rFonts w:cs="Calibri"/>
                <w:b/>
                <w:bCs/>
                <w:color w:val="000000"/>
                <w:sz w:val="22"/>
                <w:szCs w:val="22"/>
              </w:rPr>
            </w:pPr>
            <w:r w:rsidRPr="007D2907">
              <w:rPr>
                <w:rFonts w:cs="Calibri"/>
                <w:b/>
                <w:bCs/>
                <w:color w:val="000000"/>
                <w:sz w:val="22"/>
                <w:szCs w:val="22"/>
              </w:rPr>
              <w:t>$1,5</w:t>
            </w:r>
            <w:r w:rsidR="00CA0FCC">
              <w:rPr>
                <w:rFonts w:cs="Calibri"/>
                <w:b/>
                <w:bCs/>
                <w:color w:val="000000"/>
                <w:sz w:val="22"/>
                <w:szCs w:val="22"/>
              </w:rPr>
              <w:t>00</w:t>
            </w:r>
            <w:r w:rsidRPr="007D2907">
              <w:rPr>
                <w:rFonts w:cs="Calibri"/>
                <w:b/>
                <w:bCs/>
                <w:color w:val="000000"/>
                <w:sz w:val="22"/>
                <w:szCs w:val="22"/>
              </w:rPr>
              <w:t>,000</w:t>
            </w:r>
          </w:p>
        </w:tc>
        <w:tc>
          <w:tcPr>
            <w:tcW w:w="1915" w:type="dxa"/>
            <w:tcBorders>
              <w:top w:val="single" w:sz="2" w:space="0" w:color="auto"/>
              <w:left w:val="single" w:sz="24" w:space="0" w:color="auto"/>
              <w:bottom w:val="single" w:sz="2" w:space="0" w:color="auto"/>
              <w:right w:val="single" w:sz="2" w:space="0" w:color="auto"/>
            </w:tcBorders>
            <w:shd w:val="clear" w:color="auto" w:fill="D9D9D9" w:themeFill="background1" w:themeFillShade="D9"/>
            <w:vAlign w:val="bottom"/>
          </w:tcPr>
          <w:p w:rsidR="007D2907" w:rsidRPr="007D2907" w:rsidRDefault="007D2907" w:rsidP="00AA677E">
            <w:pPr>
              <w:jc w:val="right"/>
              <w:rPr>
                <w:rFonts w:cs="Calibri"/>
                <w:b/>
                <w:bCs/>
                <w:color w:val="000000"/>
                <w:sz w:val="22"/>
                <w:szCs w:val="22"/>
              </w:rPr>
            </w:pPr>
            <w:r w:rsidRPr="007D2907">
              <w:rPr>
                <w:rFonts w:cs="Calibri"/>
                <w:b/>
                <w:bCs/>
                <w:color w:val="000000"/>
                <w:sz w:val="22"/>
                <w:szCs w:val="22"/>
              </w:rPr>
              <w:t>$1,</w:t>
            </w:r>
            <w:r w:rsidR="00CA0FCC">
              <w:rPr>
                <w:rFonts w:cs="Calibri"/>
                <w:b/>
                <w:bCs/>
                <w:color w:val="000000"/>
                <w:sz w:val="22"/>
                <w:szCs w:val="22"/>
              </w:rPr>
              <w:t>473</w:t>
            </w:r>
            <w:r w:rsidRPr="007D2907">
              <w:rPr>
                <w:rFonts w:cs="Calibri"/>
                <w:b/>
                <w:bCs/>
                <w:color w:val="000000"/>
                <w:sz w:val="22"/>
                <w:szCs w:val="22"/>
              </w:rPr>
              <w:t>,000</w:t>
            </w:r>
          </w:p>
        </w:tc>
      </w:tr>
    </w:tbl>
    <w:p w:rsidR="00AB5008" w:rsidRPr="006C383E" w:rsidRDefault="006C383E"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Cs/>
          <w:color w:val="000000"/>
        </w:rPr>
      </w:pPr>
      <w:r w:rsidRPr="006C383E">
        <w:rPr>
          <w:rFonts w:cs="Times New Roman"/>
          <w:b/>
          <w:bCs/>
          <w:color w:val="000000"/>
        </w:rPr>
        <w:t xml:space="preserve">* </w:t>
      </w:r>
      <w:r w:rsidRPr="006C383E">
        <w:rPr>
          <w:rFonts w:cs="Times New Roman"/>
          <w:bCs/>
          <w:color w:val="000000"/>
          <w:sz w:val="22"/>
          <w:szCs w:val="22"/>
        </w:rPr>
        <w:t xml:space="preserve">Northwestern’s </w:t>
      </w:r>
      <w:r>
        <w:rPr>
          <w:rFonts w:cs="Times New Roman"/>
          <w:bCs/>
          <w:color w:val="000000"/>
          <w:sz w:val="22"/>
          <w:szCs w:val="22"/>
        </w:rPr>
        <w:t>contribution fixed at $30,000</w:t>
      </w:r>
      <w:r w:rsidR="0096697E">
        <w:rPr>
          <w:rFonts w:cs="Times New Roman"/>
          <w:bCs/>
          <w:color w:val="000000"/>
          <w:sz w:val="22"/>
          <w:szCs w:val="22"/>
        </w:rPr>
        <w:t xml:space="preserve">. </w:t>
      </w:r>
      <w:r w:rsidR="00E91C56">
        <w:rPr>
          <w:rFonts w:cs="Times New Roman"/>
          <w:bCs/>
          <w:color w:val="000000"/>
          <w:sz w:val="22"/>
          <w:szCs w:val="22"/>
        </w:rPr>
        <w:t>The RTF will adjust its work plan accordingly.</w:t>
      </w:r>
    </w:p>
    <w:p w:rsidR="006C383E" w:rsidRDefault="006C383E"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5F6094" w:rsidRPr="006C383E"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bCs/>
          <w:color w:val="000000"/>
          <w:sz w:val="26"/>
          <w:szCs w:val="26"/>
        </w:rPr>
      </w:pPr>
      <w:r w:rsidRPr="006C383E">
        <w:rPr>
          <w:rFonts w:cs="Times New Roman"/>
          <w:b/>
          <w:bCs/>
          <w:color w:val="000000"/>
          <w:sz w:val="26"/>
          <w:szCs w:val="26"/>
        </w:rPr>
        <w:t xml:space="preserve">Multi-Year </w:t>
      </w:r>
      <w:r w:rsidR="00CE59D6" w:rsidRPr="006C383E">
        <w:rPr>
          <w:rFonts w:cs="Times New Roman"/>
          <w:b/>
          <w:bCs/>
          <w:color w:val="000000"/>
          <w:sz w:val="26"/>
          <w:szCs w:val="26"/>
        </w:rPr>
        <w:t>Work</w:t>
      </w:r>
      <w:r w:rsidR="005A22C6" w:rsidRPr="006C383E">
        <w:rPr>
          <w:rFonts w:cs="Times New Roman"/>
          <w:b/>
          <w:bCs/>
          <w:color w:val="000000"/>
          <w:sz w:val="26"/>
          <w:szCs w:val="26"/>
        </w:rPr>
        <w:t xml:space="preserve"> P</w:t>
      </w:r>
      <w:r w:rsidR="00CE59D6" w:rsidRPr="006C383E">
        <w:rPr>
          <w:rFonts w:cs="Times New Roman"/>
          <w:b/>
          <w:bCs/>
          <w:color w:val="000000"/>
          <w:sz w:val="26"/>
          <w:szCs w:val="26"/>
        </w:rPr>
        <w:t>lan</w:t>
      </w:r>
      <w:r w:rsidRPr="006C383E">
        <w:rPr>
          <w:rFonts w:cs="Times New Roman"/>
          <w:b/>
          <w:bCs/>
          <w:color w:val="000000"/>
          <w:sz w:val="26"/>
          <w:szCs w:val="26"/>
        </w:rPr>
        <w:t xml:space="preserve"> &amp; Regional Review of the RTF</w:t>
      </w:r>
    </w:p>
    <w:p w:rsidR="0025725C" w:rsidRDefault="0025725C"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5F6094" w:rsidRPr="00494C6E"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FF0000"/>
        </w:rPr>
      </w:pPr>
      <w:r w:rsidRPr="00494C6E">
        <w:rPr>
          <w:rFonts w:ascii="Times New Roman" w:hAnsi="Times New Roman" w:cs="Times New Roman"/>
          <w:color w:val="FF0000"/>
        </w:rPr>
        <w:t xml:space="preserve">The </w:t>
      </w:r>
      <w:r w:rsidR="00320540" w:rsidRPr="00494C6E">
        <w:rPr>
          <w:rFonts w:ascii="Times New Roman" w:hAnsi="Times New Roman" w:cs="Times New Roman"/>
          <w:color w:val="FF0000"/>
        </w:rPr>
        <w:t xml:space="preserve">RTF PAC approved </w:t>
      </w:r>
      <w:r w:rsidR="00A457E4" w:rsidRPr="00494C6E">
        <w:rPr>
          <w:rFonts w:ascii="Times New Roman" w:hAnsi="Times New Roman" w:cs="Times New Roman"/>
          <w:color w:val="FF0000"/>
        </w:rPr>
        <w:t>a</w:t>
      </w:r>
      <w:r w:rsidR="009A0010" w:rsidRPr="00494C6E">
        <w:rPr>
          <w:rFonts w:ascii="Times New Roman" w:hAnsi="Times New Roman" w:cs="Times New Roman"/>
          <w:color w:val="FF0000"/>
        </w:rPr>
        <w:t xml:space="preserve"> RTF developed </w:t>
      </w:r>
      <w:r w:rsidRPr="00494C6E">
        <w:rPr>
          <w:rFonts w:ascii="Times New Roman" w:hAnsi="Times New Roman" w:cs="Times New Roman"/>
          <w:color w:val="FF0000"/>
        </w:rPr>
        <w:t xml:space="preserve">multi-year </w:t>
      </w:r>
      <w:r w:rsidR="00CE59D6" w:rsidRPr="00494C6E">
        <w:rPr>
          <w:rFonts w:ascii="Times New Roman" w:hAnsi="Times New Roman" w:cs="Times New Roman"/>
          <w:color w:val="FF0000"/>
        </w:rPr>
        <w:t>work</w:t>
      </w:r>
      <w:r w:rsidR="005A22C6" w:rsidRPr="00494C6E">
        <w:rPr>
          <w:rFonts w:ascii="Times New Roman" w:hAnsi="Times New Roman" w:cs="Times New Roman"/>
          <w:color w:val="FF0000"/>
        </w:rPr>
        <w:t xml:space="preserve"> </w:t>
      </w:r>
      <w:r w:rsidR="00CE59D6" w:rsidRPr="00494C6E">
        <w:rPr>
          <w:rFonts w:ascii="Times New Roman" w:hAnsi="Times New Roman" w:cs="Times New Roman"/>
          <w:color w:val="FF0000"/>
        </w:rPr>
        <w:t>plan</w:t>
      </w:r>
      <w:r w:rsidR="00320540" w:rsidRPr="00494C6E">
        <w:rPr>
          <w:rFonts w:ascii="Times New Roman" w:hAnsi="Times New Roman" w:cs="Times New Roman"/>
          <w:color w:val="FF0000"/>
        </w:rPr>
        <w:t xml:space="preserve"> and budget for 2012-</w:t>
      </w:r>
      <w:r w:rsidR="00D16297" w:rsidRPr="00494C6E">
        <w:rPr>
          <w:rFonts w:ascii="Times New Roman" w:hAnsi="Times New Roman" w:cs="Times New Roman"/>
          <w:color w:val="FF0000"/>
        </w:rPr>
        <w:t>2014</w:t>
      </w:r>
      <w:r w:rsidRPr="00494C6E">
        <w:rPr>
          <w:rFonts w:ascii="Times New Roman" w:hAnsi="Times New Roman" w:cs="Times New Roman"/>
          <w:color w:val="FF0000"/>
        </w:rPr>
        <w:t xml:space="preserve"> to aid in long-term </w:t>
      </w:r>
      <w:r w:rsidR="00320540" w:rsidRPr="00494C6E">
        <w:rPr>
          <w:rFonts w:ascii="Times New Roman" w:hAnsi="Times New Roman" w:cs="Times New Roman"/>
          <w:color w:val="FF0000"/>
        </w:rPr>
        <w:t>work plan development</w:t>
      </w:r>
      <w:r w:rsidR="0096697E">
        <w:rPr>
          <w:rFonts w:ascii="Times New Roman" w:hAnsi="Times New Roman" w:cs="Times New Roman"/>
          <w:color w:val="FF0000"/>
        </w:rPr>
        <w:t xml:space="preserve">. </w:t>
      </w:r>
      <w:r w:rsidR="00320540" w:rsidRPr="00494C6E">
        <w:rPr>
          <w:rFonts w:ascii="Times New Roman" w:hAnsi="Times New Roman" w:cs="Times New Roman"/>
          <w:color w:val="FF0000"/>
        </w:rPr>
        <w:t xml:space="preserve">This </w:t>
      </w:r>
      <w:r w:rsidR="00A457E4" w:rsidRPr="00494C6E">
        <w:rPr>
          <w:rFonts w:ascii="Times New Roman" w:hAnsi="Times New Roman" w:cs="Times New Roman"/>
          <w:color w:val="FF0000"/>
        </w:rPr>
        <w:t xml:space="preserve">3-year </w:t>
      </w:r>
      <w:r w:rsidR="00320540" w:rsidRPr="00494C6E">
        <w:rPr>
          <w:rFonts w:ascii="Times New Roman" w:hAnsi="Times New Roman" w:cs="Times New Roman"/>
          <w:color w:val="FF0000"/>
        </w:rPr>
        <w:t xml:space="preserve">period coincided with the </w:t>
      </w:r>
      <w:r w:rsidR="00A457E4" w:rsidRPr="00494C6E">
        <w:rPr>
          <w:rFonts w:ascii="Times New Roman" w:hAnsi="Times New Roman" w:cs="Times New Roman"/>
          <w:color w:val="FF0000"/>
        </w:rPr>
        <w:t xml:space="preserve">current </w:t>
      </w:r>
      <w:r w:rsidR="00320540" w:rsidRPr="00494C6E">
        <w:rPr>
          <w:rFonts w:ascii="Times New Roman" w:hAnsi="Times New Roman" w:cs="Times New Roman"/>
          <w:color w:val="FF0000"/>
        </w:rPr>
        <w:t>NEEA funding cycle, and may vary in the upcoming years depending on future NEEA funding cycle changes</w:t>
      </w:r>
      <w:r w:rsidR="0096697E">
        <w:rPr>
          <w:rFonts w:ascii="Times New Roman" w:hAnsi="Times New Roman" w:cs="Times New Roman"/>
          <w:color w:val="FF0000"/>
        </w:rPr>
        <w:t xml:space="preserve">. </w:t>
      </w:r>
      <w:r w:rsidR="00157087" w:rsidRPr="00494C6E">
        <w:rPr>
          <w:rFonts w:ascii="Times New Roman" w:hAnsi="Times New Roman" w:cs="Times New Roman"/>
          <w:color w:val="FF0000"/>
        </w:rPr>
        <w:t>Annual work</w:t>
      </w:r>
      <w:r w:rsidR="005A22C6" w:rsidRPr="00494C6E">
        <w:rPr>
          <w:rFonts w:ascii="Times New Roman" w:hAnsi="Times New Roman" w:cs="Times New Roman"/>
          <w:color w:val="FF0000"/>
        </w:rPr>
        <w:t xml:space="preserve"> </w:t>
      </w:r>
      <w:r w:rsidR="00157087" w:rsidRPr="00494C6E">
        <w:rPr>
          <w:rFonts w:ascii="Times New Roman" w:hAnsi="Times New Roman" w:cs="Times New Roman"/>
          <w:color w:val="FF0000"/>
        </w:rPr>
        <w:t>plan development is intended to provide flexibility to meet regional nee</w:t>
      </w:r>
      <w:r w:rsidR="000E2648" w:rsidRPr="00494C6E">
        <w:rPr>
          <w:rFonts w:ascii="Times New Roman" w:hAnsi="Times New Roman" w:cs="Times New Roman"/>
          <w:color w:val="FF0000"/>
        </w:rPr>
        <w:t>ds year to year and keep focus</w:t>
      </w:r>
      <w:r w:rsidR="00157087" w:rsidRPr="00494C6E">
        <w:rPr>
          <w:rFonts w:ascii="Times New Roman" w:hAnsi="Times New Roman" w:cs="Times New Roman"/>
          <w:color w:val="FF0000"/>
        </w:rPr>
        <w:t xml:space="preserve"> on high priority work</w:t>
      </w:r>
      <w:r w:rsidR="0096697E">
        <w:rPr>
          <w:rFonts w:ascii="Times New Roman" w:hAnsi="Times New Roman" w:cs="Times New Roman"/>
          <w:color w:val="FF0000"/>
        </w:rPr>
        <w:t xml:space="preserve">. </w:t>
      </w:r>
      <w:r w:rsidRPr="00494C6E">
        <w:rPr>
          <w:rFonts w:ascii="Times New Roman" w:hAnsi="Times New Roman" w:cs="Times New Roman"/>
          <w:color w:val="FF0000"/>
        </w:rPr>
        <w:t xml:space="preserve">Table 3 shows </w:t>
      </w:r>
      <w:r w:rsidR="00A457E4" w:rsidRPr="00494C6E">
        <w:rPr>
          <w:rFonts w:ascii="Times New Roman" w:hAnsi="Times New Roman" w:cs="Times New Roman"/>
          <w:color w:val="FF0000"/>
        </w:rPr>
        <w:t xml:space="preserve">committed </w:t>
      </w:r>
      <w:r w:rsidRPr="00494C6E">
        <w:rPr>
          <w:rFonts w:ascii="Times New Roman" w:hAnsi="Times New Roman" w:cs="Times New Roman"/>
          <w:color w:val="FF0000"/>
        </w:rPr>
        <w:t xml:space="preserve">RTF funding for the </w:t>
      </w:r>
      <w:r w:rsidR="00320540" w:rsidRPr="00494C6E">
        <w:rPr>
          <w:rFonts w:ascii="Times New Roman" w:hAnsi="Times New Roman" w:cs="Times New Roman"/>
          <w:color w:val="FF0000"/>
        </w:rPr>
        <w:t>2014 calendar year</w:t>
      </w:r>
      <w:r w:rsidR="008C2D2D" w:rsidRPr="00494C6E">
        <w:rPr>
          <w:rFonts w:ascii="Times New Roman" w:hAnsi="Times New Roman" w:cs="Times New Roman"/>
          <w:color w:val="FF0000"/>
        </w:rPr>
        <w:t xml:space="preserve"> under the current multi-year agreement</w:t>
      </w:r>
      <w:r w:rsidR="00320540" w:rsidRPr="00494C6E">
        <w:rPr>
          <w:rFonts w:ascii="Times New Roman" w:hAnsi="Times New Roman" w:cs="Times New Roman"/>
          <w:color w:val="FF0000"/>
        </w:rPr>
        <w:t>, and projected funding for the 2015-2016 calendar years</w:t>
      </w:r>
      <w:r w:rsidR="008C2D2D" w:rsidRPr="00494C6E">
        <w:rPr>
          <w:rFonts w:ascii="Times New Roman" w:hAnsi="Times New Roman" w:cs="Times New Roman"/>
          <w:color w:val="FF0000"/>
        </w:rPr>
        <w:t xml:space="preserve"> based on work plan priorities in the future</w:t>
      </w:r>
      <w:r w:rsidR="009A0010" w:rsidRPr="00494C6E">
        <w:rPr>
          <w:rFonts w:ascii="Times New Roman" w:hAnsi="Times New Roman" w:cs="Times New Roman"/>
          <w:color w:val="FF0000"/>
        </w:rPr>
        <w:t>, and a forecasted 2% inflation rate each year</w:t>
      </w:r>
      <w:r w:rsidR="00320540" w:rsidRPr="00494C6E">
        <w:rPr>
          <w:rFonts w:ascii="Times New Roman" w:hAnsi="Times New Roman" w:cs="Times New Roman"/>
          <w:color w:val="FF0000"/>
        </w:rPr>
        <w:t>.</w:t>
      </w:r>
    </w:p>
    <w:p w:rsidR="005F6094" w:rsidRDefault="005F6094" w:rsidP="005F6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p>
    <w:p w:rsidR="0025725C" w:rsidRDefault="00AC6BF7" w:rsidP="00E91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sidRPr="00E91C56">
        <w:rPr>
          <w:rFonts w:cs="Times New Roman"/>
          <w:b/>
          <w:color w:val="000000"/>
        </w:rPr>
        <w:t xml:space="preserve">Table 3: </w:t>
      </w:r>
      <w:r w:rsidR="00687786">
        <w:rPr>
          <w:rFonts w:cs="Times New Roman"/>
          <w:b/>
          <w:color w:val="000000"/>
        </w:rPr>
        <w:t>2014</w:t>
      </w:r>
      <w:r w:rsidRPr="00E91C56">
        <w:rPr>
          <w:rFonts w:cs="Times New Roman"/>
          <w:b/>
          <w:color w:val="000000"/>
        </w:rPr>
        <w:t xml:space="preserve"> </w:t>
      </w:r>
      <w:r w:rsidR="00A457E4">
        <w:rPr>
          <w:rFonts w:cs="Times New Roman"/>
          <w:b/>
          <w:color w:val="000000"/>
        </w:rPr>
        <w:t xml:space="preserve">Committed </w:t>
      </w:r>
      <w:r w:rsidR="00320540">
        <w:rPr>
          <w:rFonts w:cs="Times New Roman"/>
          <w:b/>
          <w:color w:val="000000"/>
        </w:rPr>
        <w:t>Funding and 2015-2016 Projected Funding</w:t>
      </w:r>
    </w:p>
    <w:p w:rsidR="00E91C56" w:rsidRDefault="00E91C56" w:rsidP="00E91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p>
    <w:tbl>
      <w:tblPr>
        <w:tblStyle w:val="TableGrid"/>
        <w:tblW w:w="7811" w:type="dxa"/>
        <w:jc w:val="center"/>
        <w:tblLook w:val="04A0" w:firstRow="1" w:lastRow="0" w:firstColumn="1" w:lastColumn="0" w:noHBand="0" w:noVBand="1"/>
      </w:tblPr>
      <w:tblGrid>
        <w:gridCol w:w="3465"/>
        <w:gridCol w:w="1338"/>
        <w:gridCol w:w="1473"/>
        <w:gridCol w:w="1535"/>
      </w:tblGrid>
      <w:tr w:rsidR="00320540" w:rsidTr="00320540">
        <w:trPr>
          <w:jc w:val="center"/>
        </w:trPr>
        <w:tc>
          <w:tcPr>
            <w:tcW w:w="3499" w:type="dxa"/>
            <w:vMerge w:val="restart"/>
            <w:shd w:val="clear" w:color="auto" w:fill="D9D9D9" w:themeFill="background1" w:themeFillShade="D9"/>
            <w:vAlign w:val="bottom"/>
          </w:tcPr>
          <w:p w:rsidR="00320540" w:rsidRPr="00FC43A8" w:rsidRDefault="00320540" w:rsidP="00E91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p>
        </w:tc>
        <w:tc>
          <w:tcPr>
            <w:tcW w:w="1297" w:type="dxa"/>
            <w:tcBorders>
              <w:right w:val="single" w:sz="18" w:space="0" w:color="auto"/>
            </w:tcBorders>
            <w:shd w:val="clear" w:color="auto" w:fill="DDD9C3" w:themeFill="background2" w:themeFillShade="E6"/>
            <w:vAlign w:val="center"/>
          </w:tcPr>
          <w:p w:rsidR="00320540" w:rsidRPr="00D963DD" w:rsidRDefault="00A457E4" w:rsidP="00320540">
            <w:pPr>
              <w:jc w:val="center"/>
              <w:rPr>
                <w:rFonts w:cs="Arial"/>
                <w:b/>
                <w:bCs/>
                <w:color w:val="000000"/>
                <w:sz w:val="22"/>
                <w:szCs w:val="20"/>
              </w:rPr>
            </w:pPr>
            <w:r w:rsidRPr="00D963DD">
              <w:rPr>
                <w:rFonts w:cs="Arial"/>
                <w:b/>
                <w:bCs/>
                <w:color w:val="000000"/>
                <w:sz w:val="22"/>
                <w:szCs w:val="20"/>
              </w:rPr>
              <w:t>Committed</w:t>
            </w:r>
            <w:r w:rsidR="00320540" w:rsidRPr="00D963DD">
              <w:rPr>
                <w:rFonts w:cs="Arial"/>
                <w:b/>
                <w:bCs/>
                <w:color w:val="000000"/>
                <w:sz w:val="22"/>
                <w:szCs w:val="20"/>
              </w:rPr>
              <w:t xml:space="preserve"> Funding</w:t>
            </w:r>
          </w:p>
        </w:tc>
        <w:tc>
          <w:tcPr>
            <w:tcW w:w="3015" w:type="dxa"/>
            <w:gridSpan w:val="2"/>
            <w:tcBorders>
              <w:left w:val="single" w:sz="18" w:space="0" w:color="auto"/>
              <w:right w:val="single" w:sz="2" w:space="0" w:color="auto"/>
            </w:tcBorders>
            <w:shd w:val="clear" w:color="auto" w:fill="DDD9C3" w:themeFill="background2" w:themeFillShade="E6"/>
            <w:vAlign w:val="center"/>
          </w:tcPr>
          <w:p w:rsidR="00320540" w:rsidRPr="00D963DD" w:rsidRDefault="00320540" w:rsidP="00320540">
            <w:pPr>
              <w:jc w:val="center"/>
              <w:rPr>
                <w:rFonts w:cs="Arial"/>
                <w:b/>
                <w:bCs/>
                <w:color w:val="000000"/>
                <w:sz w:val="22"/>
                <w:szCs w:val="20"/>
              </w:rPr>
            </w:pPr>
            <w:r w:rsidRPr="00D963DD">
              <w:rPr>
                <w:rFonts w:cs="Arial"/>
                <w:b/>
                <w:bCs/>
                <w:color w:val="000000"/>
                <w:sz w:val="22"/>
                <w:szCs w:val="20"/>
              </w:rPr>
              <w:t>Projected Funding</w:t>
            </w:r>
          </w:p>
        </w:tc>
      </w:tr>
      <w:tr w:rsidR="00320540" w:rsidTr="00320540">
        <w:trPr>
          <w:jc w:val="center"/>
        </w:trPr>
        <w:tc>
          <w:tcPr>
            <w:tcW w:w="3499" w:type="dxa"/>
            <w:vMerge/>
            <w:shd w:val="clear" w:color="auto" w:fill="D9D9D9" w:themeFill="background1" w:themeFillShade="D9"/>
            <w:vAlign w:val="bottom"/>
          </w:tcPr>
          <w:p w:rsidR="00320540" w:rsidRPr="00FC43A8" w:rsidRDefault="00320540" w:rsidP="00E91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p>
        </w:tc>
        <w:tc>
          <w:tcPr>
            <w:tcW w:w="1297" w:type="dxa"/>
            <w:tcBorders>
              <w:right w:val="single" w:sz="18" w:space="0" w:color="auto"/>
            </w:tcBorders>
            <w:shd w:val="clear" w:color="auto" w:fill="D9D9D9" w:themeFill="background1" w:themeFillShade="D9"/>
            <w:vAlign w:val="bottom"/>
          </w:tcPr>
          <w:p w:rsidR="00320540" w:rsidRPr="00D963DD" w:rsidRDefault="00320540">
            <w:pPr>
              <w:jc w:val="center"/>
              <w:rPr>
                <w:rFonts w:cs="Arial"/>
                <w:b/>
                <w:bCs/>
                <w:color w:val="000000"/>
                <w:sz w:val="22"/>
                <w:szCs w:val="20"/>
              </w:rPr>
            </w:pPr>
            <w:r w:rsidRPr="00D963DD">
              <w:rPr>
                <w:rFonts w:cs="Arial"/>
                <w:b/>
                <w:bCs/>
                <w:color w:val="000000"/>
                <w:sz w:val="22"/>
                <w:szCs w:val="20"/>
              </w:rPr>
              <w:t>CY 2014</w:t>
            </w:r>
          </w:p>
        </w:tc>
        <w:tc>
          <w:tcPr>
            <w:tcW w:w="1476" w:type="dxa"/>
            <w:tcBorders>
              <w:left w:val="single" w:sz="18" w:space="0" w:color="auto"/>
              <w:right w:val="single" w:sz="2" w:space="0" w:color="auto"/>
            </w:tcBorders>
            <w:shd w:val="clear" w:color="auto" w:fill="D9D9D9" w:themeFill="background1" w:themeFillShade="D9"/>
            <w:vAlign w:val="bottom"/>
          </w:tcPr>
          <w:p w:rsidR="00320540" w:rsidRPr="00D963DD" w:rsidRDefault="00320540">
            <w:pPr>
              <w:jc w:val="center"/>
              <w:rPr>
                <w:rFonts w:cs="Arial"/>
                <w:b/>
                <w:bCs/>
                <w:color w:val="000000"/>
                <w:sz w:val="22"/>
                <w:szCs w:val="20"/>
              </w:rPr>
            </w:pPr>
            <w:r w:rsidRPr="00D963DD">
              <w:rPr>
                <w:rFonts w:cs="Arial"/>
                <w:b/>
                <w:bCs/>
                <w:color w:val="000000"/>
                <w:sz w:val="22"/>
                <w:szCs w:val="20"/>
              </w:rPr>
              <w:t>CY 2015</w:t>
            </w:r>
          </w:p>
        </w:tc>
        <w:tc>
          <w:tcPr>
            <w:tcW w:w="153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bottom"/>
          </w:tcPr>
          <w:p w:rsidR="00320540" w:rsidRPr="00D963DD" w:rsidRDefault="00320540">
            <w:pPr>
              <w:jc w:val="center"/>
              <w:rPr>
                <w:rFonts w:cs="Arial"/>
                <w:b/>
                <w:bCs/>
                <w:color w:val="000000"/>
                <w:sz w:val="22"/>
                <w:szCs w:val="20"/>
              </w:rPr>
            </w:pPr>
            <w:r w:rsidRPr="00D963DD">
              <w:rPr>
                <w:rFonts w:cs="Arial"/>
                <w:b/>
                <w:bCs/>
                <w:color w:val="000000"/>
                <w:sz w:val="22"/>
                <w:szCs w:val="20"/>
              </w:rPr>
              <w:t>CY 2016</w:t>
            </w:r>
          </w:p>
        </w:tc>
      </w:tr>
      <w:tr w:rsidR="00D963DD" w:rsidRPr="00AA677E" w:rsidTr="00320540">
        <w:trPr>
          <w:jc w:val="center"/>
        </w:trPr>
        <w:tc>
          <w:tcPr>
            <w:tcW w:w="3499" w:type="dxa"/>
            <w:shd w:val="clear" w:color="auto" w:fill="FFFFFF" w:themeFill="background1"/>
          </w:tcPr>
          <w:p w:rsidR="00D963DD" w:rsidRPr="00FC43A8" w:rsidRDefault="00D963DD" w:rsidP="00E91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Pr>
                <w:rFonts w:cs="Times New Roman"/>
                <w:color w:val="000000"/>
                <w:sz w:val="22"/>
                <w:szCs w:val="22"/>
              </w:rPr>
              <w:t>Contracts</w:t>
            </w:r>
          </w:p>
        </w:tc>
        <w:tc>
          <w:tcPr>
            <w:tcW w:w="1297" w:type="dxa"/>
            <w:tcBorders>
              <w:right w:val="single" w:sz="18" w:space="0" w:color="auto"/>
            </w:tcBorders>
            <w:shd w:val="clear" w:color="auto" w:fill="FFFFFF" w:themeFill="background1"/>
            <w:vAlign w:val="bottom"/>
          </w:tcPr>
          <w:p w:rsidR="00D963DD" w:rsidRPr="00D963DD" w:rsidRDefault="00D963DD">
            <w:pPr>
              <w:jc w:val="right"/>
              <w:rPr>
                <w:color w:val="000000"/>
                <w:sz w:val="22"/>
              </w:rPr>
            </w:pPr>
            <w:r w:rsidRPr="00D963DD">
              <w:rPr>
                <w:color w:val="000000"/>
                <w:sz w:val="22"/>
              </w:rPr>
              <w:t xml:space="preserve">$482,000 </w:t>
            </w:r>
          </w:p>
        </w:tc>
        <w:tc>
          <w:tcPr>
            <w:tcW w:w="1476" w:type="dxa"/>
            <w:tcBorders>
              <w:left w:val="single" w:sz="18" w:space="0" w:color="auto"/>
              <w:right w:val="single" w:sz="2" w:space="0" w:color="auto"/>
            </w:tcBorders>
            <w:shd w:val="clear" w:color="auto" w:fill="FFFFFF" w:themeFill="background1"/>
            <w:vAlign w:val="bottom"/>
          </w:tcPr>
          <w:p w:rsidR="00D963DD" w:rsidRPr="00D963DD" w:rsidRDefault="00D963DD">
            <w:pPr>
              <w:jc w:val="right"/>
              <w:rPr>
                <w:color w:val="000000"/>
                <w:sz w:val="22"/>
              </w:rPr>
            </w:pPr>
            <w:r w:rsidRPr="00D963DD">
              <w:rPr>
                <w:color w:val="000000"/>
                <w:sz w:val="22"/>
              </w:rPr>
              <w:t xml:space="preserve">$516,800 </w:t>
            </w:r>
          </w:p>
        </w:tc>
        <w:tc>
          <w:tcPr>
            <w:tcW w:w="1539" w:type="dxa"/>
            <w:tcBorders>
              <w:top w:val="single" w:sz="2" w:space="0" w:color="auto"/>
              <w:left w:val="single" w:sz="2" w:space="0" w:color="auto"/>
              <w:bottom w:val="single" w:sz="2" w:space="0" w:color="auto"/>
              <w:right w:val="single" w:sz="2" w:space="0" w:color="auto"/>
            </w:tcBorders>
            <w:shd w:val="clear" w:color="auto" w:fill="FFFFFF" w:themeFill="background1"/>
            <w:vAlign w:val="bottom"/>
          </w:tcPr>
          <w:p w:rsidR="00D963DD" w:rsidRPr="00D963DD" w:rsidRDefault="00D963DD">
            <w:pPr>
              <w:jc w:val="right"/>
              <w:rPr>
                <w:color w:val="000000"/>
                <w:sz w:val="22"/>
              </w:rPr>
            </w:pPr>
            <w:r w:rsidRPr="00D963DD">
              <w:rPr>
                <w:color w:val="000000"/>
                <w:sz w:val="22"/>
              </w:rPr>
              <w:t xml:space="preserve">$567,425 </w:t>
            </w:r>
          </w:p>
        </w:tc>
      </w:tr>
      <w:tr w:rsidR="00D963DD" w:rsidRPr="00AA677E" w:rsidTr="00320540">
        <w:trPr>
          <w:jc w:val="center"/>
        </w:trPr>
        <w:tc>
          <w:tcPr>
            <w:tcW w:w="3499" w:type="dxa"/>
            <w:shd w:val="clear" w:color="auto" w:fill="FFFFFF" w:themeFill="background1"/>
          </w:tcPr>
          <w:p w:rsidR="00D963DD" w:rsidRPr="00FC43A8" w:rsidRDefault="00D963DD" w:rsidP="00E91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Pr>
                <w:rFonts w:cs="Times New Roman"/>
                <w:color w:val="000000"/>
                <w:sz w:val="22"/>
                <w:szCs w:val="22"/>
              </w:rPr>
              <w:t>RTF Staff</w:t>
            </w:r>
          </w:p>
        </w:tc>
        <w:tc>
          <w:tcPr>
            <w:tcW w:w="1297" w:type="dxa"/>
            <w:tcBorders>
              <w:right w:val="single" w:sz="18" w:space="0" w:color="auto"/>
            </w:tcBorders>
            <w:shd w:val="clear" w:color="auto" w:fill="FFFFFF" w:themeFill="background1"/>
            <w:vAlign w:val="bottom"/>
          </w:tcPr>
          <w:p w:rsidR="00D963DD" w:rsidRPr="00D963DD" w:rsidRDefault="00D963DD">
            <w:pPr>
              <w:jc w:val="right"/>
              <w:rPr>
                <w:color w:val="000000"/>
                <w:sz w:val="22"/>
              </w:rPr>
            </w:pPr>
            <w:r w:rsidRPr="00D963DD">
              <w:rPr>
                <w:color w:val="000000"/>
                <w:sz w:val="22"/>
              </w:rPr>
              <w:t xml:space="preserve">$991,000 </w:t>
            </w:r>
          </w:p>
        </w:tc>
        <w:tc>
          <w:tcPr>
            <w:tcW w:w="1476" w:type="dxa"/>
            <w:tcBorders>
              <w:left w:val="single" w:sz="18" w:space="0" w:color="auto"/>
              <w:right w:val="single" w:sz="2" w:space="0" w:color="auto"/>
            </w:tcBorders>
            <w:shd w:val="clear" w:color="auto" w:fill="FFFFFF" w:themeFill="background1"/>
            <w:vAlign w:val="bottom"/>
          </w:tcPr>
          <w:p w:rsidR="00D963DD" w:rsidRPr="00D963DD" w:rsidRDefault="00D963DD">
            <w:pPr>
              <w:jc w:val="right"/>
              <w:rPr>
                <w:color w:val="000000"/>
                <w:sz w:val="22"/>
              </w:rPr>
            </w:pPr>
            <w:r w:rsidRPr="00D963DD">
              <w:rPr>
                <w:color w:val="000000"/>
                <w:sz w:val="22"/>
              </w:rPr>
              <w:t xml:space="preserve">$1,099,611 </w:t>
            </w:r>
          </w:p>
        </w:tc>
        <w:tc>
          <w:tcPr>
            <w:tcW w:w="1539" w:type="dxa"/>
            <w:tcBorders>
              <w:top w:val="single" w:sz="2" w:space="0" w:color="auto"/>
              <w:left w:val="single" w:sz="2" w:space="0" w:color="auto"/>
              <w:bottom w:val="single" w:sz="2" w:space="0" w:color="auto"/>
              <w:right w:val="single" w:sz="2" w:space="0" w:color="auto"/>
            </w:tcBorders>
            <w:shd w:val="clear" w:color="auto" w:fill="FFFFFF" w:themeFill="background1"/>
            <w:vAlign w:val="bottom"/>
          </w:tcPr>
          <w:p w:rsidR="00D963DD" w:rsidRPr="00D963DD" w:rsidRDefault="00D963DD">
            <w:pPr>
              <w:jc w:val="right"/>
              <w:rPr>
                <w:color w:val="000000"/>
                <w:sz w:val="22"/>
              </w:rPr>
            </w:pPr>
            <w:r w:rsidRPr="00D963DD">
              <w:rPr>
                <w:color w:val="000000"/>
                <w:sz w:val="22"/>
              </w:rPr>
              <w:t xml:space="preserve">$1,208,935 </w:t>
            </w:r>
          </w:p>
        </w:tc>
      </w:tr>
      <w:tr w:rsidR="00D963DD" w:rsidRPr="00AA677E" w:rsidTr="00320540">
        <w:trPr>
          <w:jc w:val="center"/>
        </w:trPr>
        <w:tc>
          <w:tcPr>
            <w:tcW w:w="3499" w:type="dxa"/>
            <w:tcBorders>
              <w:bottom w:val="single" w:sz="18" w:space="0" w:color="auto"/>
            </w:tcBorders>
            <w:shd w:val="clear" w:color="auto" w:fill="FFFFFF" w:themeFill="background1"/>
          </w:tcPr>
          <w:p w:rsidR="00D963DD" w:rsidRPr="00FC43A8" w:rsidRDefault="00D963DD" w:rsidP="00E91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Pr>
                <w:rFonts w:cs="Times New Roman"/>
                <w:color w:val="000000"/>
                <w:sz w:val="22"/>
                <w:szCs w:val="22"/>
              </w:rPr>
              <w:t>Subtotal Funders</w:t>
            </w:r>
          </w:p>
        </w:tc>
        <w:tc>
          <w:tcPr>
            <w:tcW w:w="1297" w:type="dxa"/>
            <w:tcBorders>
              <w:bottom w:val="single" w:sz="18" w:space="0" w:color="auto"/>
              <w:right w:val="single" w:sz="18" w:space="0" w:color="auto"/>
            </w:tcBorders>
            <w:shd w:val="clear" w:color="auto" w:fill="FFFFFF" w:themeFill="background1"/>
            <w:vAlign w:val="bottom"/>
          </w:tcPr>
          <w:p w:rsidR="00D963DD" w:rsidRPr="00D963DD" w:rsidRDefault="00D963DD">
            <w:pPr>
              <w:jc w:val="right"/>
              <w:rPr>
                <w:color w:val="000000"/>
                <w:sz w:val="22"/>
              </w:rPr>
            </w:pPr>
            <w:r w:rsidRPr="00D963DD">
              <w:rPr>
                <w:color w:val="000000"/>
                <w:sz w:val="22"/>
              </w:rPr>
              <w:t xml:space="preserve">$1,473,000 </w:t>
            </w:r>
          </w:p>
        </w:tc>
        <w:tc>
          <w:tcPr>
            <w:tcW w:w="1476" w:type="dxa"/>
            <w:tcBorders>
              <w:left w:val="single" w:sz="18" w:space="0" w:color="auto"/>
              <w:bottom w:val="single" w:sz="18" w:space="0" w:color="auto"/>
              <w:right w:val="single" w:sz="2" w:space="0" w:color="auto"/>
            </w:tcBorders>
            <w:shd w:val="clear" w:color="auto" w:fill="FFFFFF" w:themeFill="background1"/>
            <w:vAlign w:val="bottom"/>
          </w:tcPr>
          <w:p w:rsidR="00D963DD" w:rsidRPr="00D963DD" w:rsidRDefault="00D963DD">
            <w:pPr>
              <w:jc w:val="right"/>
              <w:rPr>
                <w:color w:val="000000"/>
                <w:sz w:val="22"/>
              </w:rPr>
            </w:pPr>
            <w:r w:rsidRPr="00D963DD">
              <w:rPr>
                <w:color w:val="000000"/>
                <w:sz w:val="22"/>
              </w:rPr>
              <w:t xml:space="preserve">$1,616,411 </w:t>
            </w:r>
          </w:p>
        </w:tc>
        <w:tc>
          <w:tcPr>
            <w:tcW w:w="1539" w:type="dxa"/>
            <w:tcBorders>
              <w:top w:val="single" w:sz="2" w:space="0" w:color="auto"/>
              <w:left w:val="single" w:sz="2" w:space="0" w:color="auto"/>
              <w:bottom w:val="single" w:sz="18" w:space="0" w:color="auto"/>
              <w:right w:val="single" w:sz="2" w:space="0" w:color="auto"/>
            </w:tcBorders>
            <w:shd w:val="clear" w:color="auto" w:fill="FFFFFF" w:themeFill="background1"/>
            <w:vAlign w:val="bottom"/>
          </w:tcPr>
          <w:p w:rsidR="00D963DD" w:rsidRPr="00D963DD" w:rsidRDefault="00D963DD">
            <w:pPr>
              <w:jc w:val="right"/>
              <w:rPr>
                <w:color w:val="000000"/>
                <w:sz w:val="22"/>
              </w:rPr>
            </w:pPr>
            <w:r w:rsidRPr="00D963DD">
              <w:rPr>
                <w:color w:val="000000"/>
                <w:sz w:val="22"/>
              </w:rPr>
              <w:t xml:space="preserve">$1,729,863 </w:t>
            </w:r>
          </w:p>
        </w:tc>
      </w:tr>
      <w:tr w:rsidR="00D963DD" w:rsidRPr="00AA677E" w:rsidTr="00320540">
        <w:trPr>
          <w:jc w:val="center"/>
        </w:trPr>
        <w:tc>
          <w:tcPr>
            <w:tcW w:w="3499" w:type="dxa"/>
            <w:tcBorders>
              <w:top w:val="single" w:sz="18" w:space="0" w:color="auto"/>
            </w:tcBorders>
            <w:shd w:val="clear" w:color="auto" w:fill="FFFFFF" w:themeFill="background1"/>
          </w:tcPr>
          <w:p w:rsidR="00D963DD" w:rsidRPr="00FC43A8" w:rsidRDefault="00D963DD" w:rsidP="00E91C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r>
              <w:rPr>
                <w:rFonts w:cs="Times New Roman"/>
                <w:color w:val="000000"/>
                <w:sz w:val="22"/>
                <w:szCs w:val="22"/>
              </w:rPr>
              <w:t>Council Staff In-Kind Contribution</w:t>
            </w:r>
          </w:p>
        </w:tc>
        <w:tc>
          <w:tcPr>
            <w:tcW w:w="1297" w:type="dxa"/>
            <w:tcBorders>
              <w:top w:val="single" w:sz="18" w:space="0" w:color="auto"/>
              <w:right w:val="single" w:sz="18" w:space="0" w:color="auto"/>
            </w:tcBorders>
            <w:shd w:val="clear" w:color="auto" w:fill="FFFFFF" w:themeFill="background1"/>
            <w:vAlign w:val="bottom"/>
          </w:tcPr>
          <w:p w:rsidR="00D963DD" w:rsidRPr="00D963DD" w:rsidRDefault="00D963DD">
            <w:pPr>
              <w:jc w:val="right"/>
              <w:rPr>
                <w:color w:val="000000"/>
                <w:sz w:val="22"/>
              </w:rPr>
            </w:pPr>
            <w:r w:rsidRPr="00D963DD">
              <w:rPr>
                <w:color w:val="000000"/>
                <w:sz w:val="22"/>
              </w:rPr>
              <w:t xml:space="preserve">$277,100 </w:t>
            </w:r>
          </w:p>
        </w:tc>
        <w:tc>
          <w:tcPr>
            <w:tcW w:w="1476" w:type="dxa"/>
            <w:tcBorders>
              <w:top w:val="single" w:sz="18" w:space="0" w:color="auto"/>
              <w:left w:val="single" w:sz="18" w:space="0" w:color="auto"/>
              <w:right w:val="single" w:sz="2" w:space="0" w:color="auto"/>
            </w:tcBorders>
            <w:shd w:val="clear" w:color="auto" w:fill="FFFFFF" w:themeFill="background1"/>
            <w:vAlign w:val="bottom"/>
          </w:tcPr>
          <w:p w:rsidR="00D963DD" w:rsidRPr="00D963DD" w:rsidRDefault="00D963DD">
            <w:pPr>
              <w:jc w:val="right"/>
              <w:rPr>
                <w:color w:val="000000"/>
                <w:sz w:val="22"/>
              </w:rPr>
            </w:pPr>
            <w:r w:rsidRPr="00D963DD">
              <w:rPr>
                <w:color w:val="000000"/>
                <w:sz w:val="22"/>
              </w:rPr>
              <w:t xml:space="preserve">$268,269 </w:t>
            </w:r>
          </w:p>
        </w:tc>
        <w:tc>
          <w:tcPr>
            <w:tcW w:w="1539" w:type="dxa"/>
            <w:tcBorders>
              <w:top w:val="single" w:sz="18" w:space="0" w:color="auto"/>
              <w:left w:val="single" w:sz="2" w:space="0" w:color="auto"/>
              <w:bottom w:val="single" w:sz="2" w:space="0" w:color="auto"/>
              <w:right w:val="single" w:sz="2" w:space="0" w:color="auto"/>
            </w:tcBorders>
            <w:shd w:val="clear" w:color="auto" w:fill="FFFFFF" w:themeFill="background1"/>
            <w:vAlign w:val="bottom"/>
          </w:tcPr>
          <w:p w:rsidR="00D963DD" w:rsidRPr="00D963DD" w:rsidRDefault="00D963DD">
            <w:pPr>
              <w:jc w:val="right"/>
              <w:rPr>
                <w:color w:val="000000"/>
                <w:sz w:val="22"/>
              </w:rPr>
            </w:pPr>
            <w:r w:rsidRPr="00D963DD">
              <w:rPr>
                <w:color w:val="000000"/>
                <w:sz w:val="22"/>
              </w:rPr>
              <w:t xml:space="preserve">$269,204 </w:t>
            </w:r>
          </w:p>
        </w:tc>
      </w:tr>
    </w:tbl>
    <w:p w:rsidR="00D06CDB" w:rsidRPr="00AA677E" w:rsidRDefault="00D06CDB" w:rsidP="00AA67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2"/>
          <w:szCs w:val="22"/>
        </w:rPr>
      </w:pPr>
    </w:p>
    <w:sectPr w:rsidR="00D06CDB" w:rsidRPr="00AA677E" w:rsidSect="00782022">
      <w:footerReference w:type="default" r:id="rId11"/>
      <w:pgSz w:w="12240" w:h="15840"/>
      <w:pgMar w:top="90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DCD" w:rsidRDefault="00E87DCD" w:rsidP="007E23FF">
      <w:r>
        <w:separator/>
      </w:r>
    </w:p>
  </w:endnote>
  <w:endnote w:type="continuationSeparator" w:id="0">
    <w:p w:rsidR="00E87DCD" w:rsidRDefault="00E87DCD" w:rsidP="007E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DCD" w:rsidRPr="00FC43A8" w:rsidRDefault="00E87DCD">
    <w:pPr>
      <w:pStyle w:val="Footer"/>
      <w:pBdr>
        <w:top w:val="thinThickSmallGap" w:sz="24" w:space="1" w:color="622423" w:themeColor="accent2" w:themeShade="7F"/>
      </w:pBdr>
    </w:pPr>
    <w:r>
      <w:t>PROPOSED RTF 2014-2016</w:t>
    </w:r>
    <w:r w:rsidRPr="00FC43A8">
      <w:t xml:space="preserve"> Business Plan </w:t>
    </w:r>
    <w:r w:rsidRPr="00FC43A8">
      <w:ptab w:relativeTo="margin" w:alignment="right" w:leader="none"/>
    </w:r>
    <w:r w:rsidRPr="00FC43A8">
      <w:t xml:space="preserve">Page </w:t>
    </w:r>
    <w:r w:rsidR="0096697E">
      <w:fldChar w:fldCharType="begin"/>
    </w:r>
    <w:r w:rsidR="0096697E">
      <w:instrText xml:space="preserve"> PAGE   \* MERGEFORMAT </w:instrText>
    </w:r>
    <w:r w:rsidR="0096697E">
      <w:fldChar w:fldCharType="separate"/>
    </w:r>
    <w:r w:rsidR="0096697E">
      <w:rPr>
        <w:noProof/>
      </w:rPr>
      <w:t>1</w:t>
    </w:r>
    <w:r w:rsidR="0096697E">
      <w:rPr>
        <w:noProof/>
      </w:rPr>
      <w:fldChar w:fldCharType="end"/>
    </w:r>
  </w:p>
  <w:p w:rsidR="00E87DCD" w:rsidRDefault="00E87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DCD" w:rsidRDefault="00E87DCD" w:rsidP="007E23FF">
      <w:r>
        <w:separator/>
      </w:r>
    </w:p>
  </w:footnote>
  <w:footnote w:type="continuationSeparator" w:id="0">
    <w:p w:rsidR="00E87DCD" w:rsidRDefault="00E87DCD" w:rsidP="007E23FF">
      <w:r>
        <w:continuationSeparator/>
      </w:r>
    </w:p>
  </w:footnote>
  <w:footnote w:id="1">
    <w:p w:rsidR="00E87DCD" w:rsidRDefault="00E87DCD">
      <w:pPr>
        <w:pStyle w:val="FootnoteText"/>
      </w:pPr>
      <w:r>
        <w:rPr>
          <w:rStyle w:val="FootnoteReference"/>
        </w:rPr>
        <w:footnoteRef/>
      </w:r>
      <w:r>
        <w:t xml:space="preserve"> See the RTF Charter at </w:t>
      </w:r>
      <w:r w:rsidRPr="008F2850">
        <w:t>http://rtf.nwcouncil.org/Revised_RTF_Charter_and_Bylaws.pdf</w:t>
      </w:r>
    </w:p>
  </w:footnote>
  <w:footnote w:id="2">
    <w:p w:rsidR="00E87DCD" w:rsidRDefault="00E87DCD">
      <w:pPr>
        <w:pStyle w:val="FootnoteText"/>
      </w:pPr>
      <w:r>
        <w:rPr>
          <w:rStyle w:val="FootnoteReference"/>
        </w:rPr>
        <w:footnoteRef/>
      </w:r>
      <w:r>
        <w:t xml:space="preserve"> </w:t>
      </w:r>
      <w:r w:rsidRPr="008F2850">
        <w:t>http://rtf.nwcouncil.org/subcommittees/guidelines/</w:t>
      </w:r>
    </w:p>
  </w:footnote>
  <w:footnote w:id="3">
    <w:p w:rsidR="00E87DCD" w:rsidRDefault="00E87DCD">
      <w:pPr>
        <w:pStyle w:val="FootnoteText"/>
      </w:pPr>
      <w:r>
        <w:rPr>
          <w:rStyle w:val="FootnoteReference"/>
        </w:rPr>
        <w:footnoteRef/>
      </w:r>
      <w:r>
        <w:t xml:space="preserve"> NorthWestern Energy’s NEEA share is based on the entire state of Montana, while the RTF share is only western Montana. This equates to a total RTF funding amount of $1,473,000 per year.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5003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8E28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1A10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5AFE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3CBB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4629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5ED3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E0A26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86BC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349B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0072C0"/>
    <w:multiLevelType w:val="hybridMultilevel"/>
    <w:tmpl w:val="F29A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583312"/>
    <w:multiLevelType w:val="hybridMultilevel"/>
    <w:tmpl w:val="6C4ACE04"/>
    <w:lvl w:ilvl="0" w:tplc="876A7AD2">
      <w:start w:val="1"/>
      <w:numFmt w:val="decimal"/>
      <w:lvlText w:val="%1."/>
      <w:lvlJc w:val="left"/>
      <w:pPr>
        <w:ind w:left="600" w:hanging="560"/>
      </w:pPr>
      <w:rPr>
        <w:rFonts w:hint="default"/>
      </w:rPr>
    </w:lvl>
    <w:lvl w:ilvl="1" w:tplc="04090019">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2F5807C0"/>
    <w:multiLevelType w:val="hybridMultilevel"/>
    <w:tmpl w:val="20ACEC10"/>
    <w:lvl w:ilvl="0" w:tplc="D472A816">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65169"/>
    <w:multiLevelType w:val="hybridMultilevel"/>
    <w:tmpl w:val="BAEC6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B4894"/>
    <w:multiLevelType w:val="hybridMultilevel"/>
    <w:tmpl w:val="3A8ED9B4"/>
    <w:lvl w:ilvl="0" w:tplc="D472A816">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747C93"/>
    <w:multiLevelType w:val="hybridMultilevel"/>
    <w:tmpl w:val="C0FC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FF0B5F"/>
    <w:multiLevelType w:val="hybridMultilevel"/>
    <w:tmpl w:val="009A5864"/>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7" w15:restartNumberingAfterBreak="0">
    <w:nsid w:val="661D380B"/>
    <w:multiLevelType w:val="hybridMultilevel"/>
    <w:tmpl w:val="5D420300"/>
    <w:lvl w:ilvl="0" w:tplc="D472A816">
      <w:start w:val="1"/>
      <w:numFmt w:val="bullet"/>
      <w:lvlText w:val=""/>
      <w:lvlJc w:val="left"/>
      <w:pPr>
        <w:ind w:left="720" w:hanging="360"/>
      </w:pPr>
      <w:rPr>
        <w:rFonts w:ascii="Wingdings" w:hAnsi="Wingding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4"/>
  </w:num>
  <w:num w:numId="4">
    <w:abstractNumId w:val="12"/>
  </w:num>
  <w:num w:numId="5">
    <w:abstractNumId w:val="17"/>
  </w:num>
  <w:num w:numId="6">
    <w:abstractNumId w:val="15"/>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094"/>
    <w:rsid w:val="000121B4"/>
    <w:rsid w:val="00015B32"/>
    <w:rsid w:val="0003019F"/>
    <w:rsid w:val="00031321"/>
    <w:rsid w:val="0005280F"/>
    <w:rsid w:val="0005682D"/>
    <w:rsid w:val="000749A3"/>
    <w:rsid w:val="00084544"/>
    <w:rsid w:val="00092EC0"/>
    <w:rsid w:val="00094CA4"/>
    <w:rsid w:val="000B1E03"/>
    <w:rsid w:val="000C280E"/>
    <w:rsid w:val="000C6936"/>
    <w:rsid w:val="000D5B0C"/>
    <w:rsid w:val="000E0D05"/>
    <w:rsid w:val="000E2648"/>
    <w:rsid w:val="000F6781"/>
    <w:rsid w:val="000F7939"/>
    <w:rsid w:val="0010266B"/>
    <w:rsid w:val="001139F4"/>
    <w:rsid w:val="001364FB"/>
    <w:rsid w:val="001408F5"/>
    <w:rsid w:val="001439E0"/>
    <w:rsid w:val="00156B65"/>
    <w:rsid w:val="00157087"/>
    <w:rsid w:val="001619B6"/>
    <w:rsid w:val="00170013"/>
    <w:rsid w:val="00175201"/>
    <w:rsid w:val="001A6703"/>
    <w:rsid w:val="001B4370"/>
    <w:rsid w:val="001C4AA4"/>
    <w:rsid w:val="001D260B"/>
    <w:rsid w:val="001D4012"/>
    <w:rsid w:val="001D50D0"/>
    <w:rsid w:val="001D55E9"/>
    <w:rsid w:val="001F6D4E"/>
    <w:rsid w:val="002044AD"/>
    <w:rsid w:val="00216D43"/>
    <w:rsid w:val="002178AB"/>
    <w:rsid w:val="00220C8E"/>
    <w:rsid w:val="00222721"/>
    <w:rsid w:val="002332B4"/>
    <w:rsid w:val="0023436E"/>
    <w:rsid w:val="0023744C"/>
    <w:rsid w:val="00237473"/>
    <w:rsid w:val="00254499"/>
    <w:rsid w:val="0025725C"/>
    <w:rsid w:val="0026425E"/>
    <w:rsid w:val="00267B20"/>
    <w:rsid w:val="002755CA"/>
    <w:rsid w:val="00286201"/>
    <w:rsid w:val="0029569F"/>
    <w:rsid w:val="0029762F"/>
    <w:rsid w:val="00297DF4"/>
    <w:rsid w:val="002B2613"/>
    <w:rsid w:val="002E1060"/>
    <w:rsid w:val="002F0C32"/>
    <w:rsid w:val="002F44F2"/>
    <w:rsid w:val="003142CE"/>
    <w:rsid w:val="00320540"/>
    <w:rsid w:val="003228E5"/>
    <w:rsid w:val="00326D04"/>
    <w:rsid w:val="00342C9A"/>
    <w:rsid w:val="003440D0"/>
    <w:rsid w:val="00347AB8"/>
    <w:rsid w:val="00361604"/>
    <w:rsid w:val="00382117"/>
    <w:rsid w:val="00382D47"/>
    <w:rsid w:val="00383C2B"/>
    <w:rsid w:val="00384146"/>
    <w:rsid w:val="00391003"/>
    <w:rsid w:val="003A062C"/>
    <w:rsid w:val="003D7962"/>
    <w:rsid w:val="003E602C"/>
    <w:rsid w:val="004174BE"/>
    <w:rsid w:val="00421BD7"/>
    <w:rsid w:val="0044263D"/>
    <w:rsid w:val="004427DC"/>
    <w:rsid w:val="00451E07"/>
    <w:rsid w:val="00454E37"/>
    <w:rsid w:val="004613DC"/>
    <w:rsid w:val="004619C3"/>
    <w:rsid w:val="004808A9"/>
    <w:rsid w:val="00494C6E"/>
    <w:rsid w:val="004B23FD"/>
    <w:rsid w:val="004B3F49"/>
    <w:rsid w:val="004B4DFA"/>
    <w:rsid w:val="004C23DC"/>
    <w:rsid w:val="004C441E"/>
    <w:rsid w:val="004D0A3A"/>
    <w:rsid w:val="004D40DC"/>
    <w:rsid w:val="004D6939"/>
    <w:rsid w:val="004E29C2"/>
    <w:rsid w:val="0051065E"/>
    <w:rsid w:val="00545877"/>
    <w:rsid w:val="00551EF5"/>
    <w:rsid w:val="00562DBE"/>
    <w:rsid w:val="0058160C"/>
    <w:rsid w:val="00585E81"/>
    <w:rsid w:val="0059299E"/>
    <w:rsid w:val="0059394C"/>
    <w:rsid w:val="00594B7C"/>
    <w:rsid w:val="00596900"/>
    <w:rsid w:val="005A22C6"/>
    <w:rsid w:val="005A2E39"/>
    <w:rsid w:val="005C04EF"/>
    <w:rsid w:val="005C2C0D"/>
    <w:rsid w:val="005E1231"/>
    <w:rsid w:val="005E1F01"/>
    <w:rsid w:val="005E35A4"/>
    <w:rsid w:val="005E70B0"/>
    <w:rsid w:val="005F6094"/>
    <w:rsid w:val="006027FD"/>
    <w:rsid w:val="00612098"/>
    <w:rsid w:val="00615826"/>
    <w:rsid w:val="006429B8"/>
    <w:rsid w:val="00644921"/>
    <w:rsid w:val="006643BB"/>
    <w:rsid w:val="0067431C"/>
    <w:rsid w:val="0068397A"/>
    <w:rsid w:val="00687368"/>
    <w:rsid w:val="00687786"/>
    <w:rsid w:val="00690B81"/>
    <w:rsid w:val="0069713B"/>
    <w:rsid w:val="006A43A4"/>
    <w:rsid w:val="006A4CA5"/>
    <w:rsid w:val="006B57A3"/>
    <w:rsid w:val="006C383E"/>
    <w:rsid w:val="006C4B31"/>
    <w:rsid w:val="006D2C9C"/>
    <w:rsid w:val="006D711D"/>
    <w:rsid w:val="006D7300"/>
    <w:rsid w:val="00717996"/>
    <w:rsid w:val="0072468D"/>
    <w:rsid w:val="00726A37"/>
    <w:rsid w:val="007316E4"/>
    <w:rsid w:val="00741AF6"/>
    <w:rsid w:val="00755429"/>
    <w:rsid w:val="00761E2C"/>
    <w:rsid w:val="00764C9F"/>
    <w:rsid w:val="00777601"/>
    <w:rsid w:val="00782022"/>
    <w:rsid w:val="007A6CEC"/>
    <w:rsid w:val="007D2907"/>
    <w:rsid w:val="007D3466"/>
    <w:rsid w:val="007D432C"/>
    <w:rsid w:val="007E23FF"/>
    <w:rsid w:val="007F0A09"/>
    <w:rsid w:val="007F2B5A"/>
    <w:rsid w:val="00800E21"/>
    <w:rsid w:val="00804A9F"/>
    <w:rsid w:val="00805D05"/>
    <w:rsid w:val="0081226D"/>
    <w:rsid w:val="008303EE"/>
    <w:rsid w:val="008310A6"/>
    <w:rsid w:val="00846576"/>
    <w:rsid w:val="00847693"/>
    <w:rsid w:val="0085158E"/>
    <w:rsid w:val="00867173"/>
    <w:rsid w:val="00870864"/>
    <w:rsid w:val="008726A8"/>
    <w:rsid w:val="00881DDA"/>
    <w:rsid w:val="00885795"/>
    <w:rsid w:val="00887375"/>
    <w:rsid w:val="008A5CDB"/>
    <w:rsid w:val="008C2D2D"/>
    <w:rsid w:val="008C6950"/>
    <w:rsid w:val="008E3D9B"/>
    <w:rsid w:val="008F2850"/>
    <w:rsid w:val="008F53DB"/>
    <w:rsid w:val="009075B4"/>
    <w:rsid w:val="00914681"/>
    <w:rsid w:val="0091563A"/>
    <w:rsid w:val="00922B07"/>
    <w:rsid w:val="009279B1"/>
    <w:rsid w:val="00934867"/>
    <w:rsid w:val="00936605"/>
    <w:rsid w:val="00945B56"/>
    <w:rsid w:val="00946D24"/>
    <w:rsid w:val="00960F89"/>
    <w:rsid w:val="0096697E"/>
    <w:rsid w:val="009808C0"/>
    <w:rsid w:val="00981F1F"/>
    <w:rsid w:val="00987232"/>
    <w:rsid w:val="009875CC"/>
    <w:rsid w:val="00987A45"/>
    <w:rsid w:val="00987EC5"/>
    <w:rsid w:val="009966FA"/>
    <w:rsid w:val="009968F1"/>
    <w:rsid w:val="009A0010"/>
    <w:rsid w:val="009A3074"/>
    <w:rsid w:val="009A317E"/>
    <w:rsid w:val="009A671A"/>
    <w:rsid w:val="009C1876"/>
    <w:rsid w:val="009C553C"/>
    <w:rsid w:val="009E16D5"/>
    <w:rsid w:val="009E40B5"/>
    <w:rsid w:val="009E48F9"/>
    <w:rsid w:val="009F4B42"/>
    <w:rsid w:val="009F672B"/>
    <w:rsid w:val="00A059C1"/>
    <w:rsid w:val="00A24C97"/>
    <w:rsid w:val="00A413D4"/>
    <w:rsid w:val="00A457E4"/>
    <w:rsid w:val="00A502CA"/>
    <w:rsid w:val="00A55C86"/>
    <w:rsid w:val="00A60314"/>
    <w:rsid w:val="00A63146"/>
    <w:rsid w:val="00A67D31"/>
    <w:rsid w:val="00AA113E"/>
    <w:rsid w:val="00AA29AC"/>
    <w:rsid w:val="00AA677E"/>
    <w:rsid w:val="00AB5008"/>
    <w:rsid w:val="00AC6BF7"/>
    <w:rsid w:val="00AE10D6"/>
    <w:rsid w:val="00AE4D6A"/>
    <w:rsid w:val="00AE6BF5"/>
    <w:rsid w:val="00AF588A"/>
    <w:rsid w:val="00B00BE6"/>
    <w:rsid w:val="00B11416"/>
    <w:rsid w:val="00B12278"/>
    <w:rsid w:val="00B168B0"/>
    <w:rsid w:val="00B2436E"/>
    <w:rsid w:val="00B33DFC"/>
    <w:rsid w:val="00B47958"/>
    <w:rsid w:val="00B50374"/>
    <w:rsid w:val="00B6704C"/>
    <w:rsid w:val="00B76E59"/>
    <w:rsid w:val="00B82091"/>
    <w:rsid w:val="00BA3A89"/>
    <w:rsid w:val="00BB00C2"/>
    <w:rsid w:val="00BB5008"/>
    <w:rsid w:val="00BC02E5"/>
    <w:rsid w:val="00BD5D47"/>
    <w:rsid w:val="00BF0CA1"/>
    <w:rsid w:val="00BF2267"/>
    <w:rsid w:val="00BF6530"/>
    <w:rsid w:val="00C21B5A"/>
    <w:rsid w:val="00C220BA"/>
    <w:rsid w:val="00C22D74"/>
    <w:rsid w:val="00C274B4"/>
    <w:rsid w:val="00C325E0"/>
    <w:rsid w:val="00C35085"/>
    <w:rsid w:val="00C35A3C"/>
    <w:rsid w:val="00C63D39"/>
    <w:rsid w:val="00C718FB"/>
    <w:rsid w:val="00C806E7"/>
    <w:rsid w:val="00CA0FCC"/>
    <w:rsid w:val="00CA2605"/>
    <w:rsid w:val="00CA72AA"/>
    <w:rsid w:val="00CA7A9C"/>
    <w:rsid w:val="00CB0B24"/>
    <w:rsid w:val="00CB2322"/>
    <w:rsid w:val="00CC4F6E"/>
    <w:rsid w:val="00CD49A6"/>
    <w:rsid w:val="00CD67AE"/>
    <w:rsid w:val="00CD7F0E"/>
    <w:rsid w:val="00CE3579"/>
    <w:rsid w:val="00CE59D6"/>
    <w:rsid w:val="00D06CDB"/>
    <w:rsid w:val="00D16297"/>
    <w:rsid w:val="00D17C0F"/>
    <w:rsid w:val="00D309BC"/>
    <w:rsid w:val="00D33648"/>
    <w:rsid w:val="00D34F47"/>
    <w:rsid w:val="00D41987"/>
    <w:rsid w:val="00D558BB"/>
    <w:rsid w:val="00D858E4"/>
    <w:rsid w:val="00D85A3A"/>
    <w:rsid w:val="00D963DD"/>
    <w:rsid w:val="00DA0F05"/>
    <w:rsid w:val="00DB7401"/>
    <w:rsid w:val="00DC3ADB"/>
    <w:rsid w:val="00DC3B7D"/>
    <w:rsid w:val="00DD6AD4"/>
    <w:rsid w:val="00DD6D50"/>
    <w:rsid w:val="00DE1F7C"/>
    <w:rsid w:val="00DF5DB2"/>
    <w:rsid w:val="00DF67A2"/>
    <w:rsid w:val="00E0769A"/>
    <w:rsid w:val="00E131CD"/>
    <w:rsid w:val="00E14BE5"/>
    <w:rsid w:val="00E173C5"/>
    <w:rsid w:val="00E22D72"/>
    <w:rsid w:val="00E30B54"/>
    <w:rsid w:val="00E47ADE"/>
    <w:rsid w:val="00E51B7C"/>
    <w:rsid w:val="00E55E95"/>
    <w:rsid w:val="00E64E74"/>
    <w:rsid w:val="00E71E15"/>
    <w:rsid w:val="00E87DCD"/>
    <w:rsid w:val="00E91C56"/>
    <w:rsid w:val="00E95B8F"/>
    <w:rsid w:val="00EA02D6"/>
    <w:rsid w:val="00EA6C4F"/>
    <w:rsid w:val="00EB08BD"/>
    <w:rsid w:val="00EC30A8"/>
    <w:rsid w:val="00EC638C"/>
    <w:rsid w:val="00ED0F81"/>
    <w:rsid w:val="00ED1B50"/>
    <w:rsid w:val="00ED2E09"/>
    <w:rsid w:val="00ED4FE3"/>
    <w:rsid w:val="00EE0239"/>
    <w:rsid w:val="00EE1D70"/>
    <w:rsid w:val="00EE5E63"/>
    <w:rsid w:val="00EE6537"/>
    <w:rsid w:val="00F0072B"/>
    <w:rsid w:val="00F058ED"/>
    <w:rsid w:val="00F44B10"/>
    <w:rsid w:val="00F47243"/>
    <w:rsid w:val="00F60D7B"/>
    <w:rsid w:val="00F630D6"/>
    <w:rsid w:val="00F66096"/>
    <w:rsid w:val="00F66C71"/>
    <w:rsid w:val="00F70630"/>
    <w:rsid w:val="00F80A55"/>
    <w:rsid w:val="00F85CC8"/>
    <w:rsid w:val="00F86728"/>
    <w:rsid w:val="00F97A75"/>
    <w:rsid w:val="00FA4110"/>
    <w:rsid w:val="00FB03F9"/>
    <w:rsid w:val="00FB3D61"/>
    <w:rsid w:val="00FC0D19"/>
    <w:rsid w:val="00FC43A8"/>
    <w:rsid w:val="00FC5E69"/>
    <w:rsid w:val="00FD19F3"/>
    <w:rsid w:val="00FD5BED"/>
    <w:rsid w:val="00FF1EB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39887C0E-40C6-4BAB-885F-A42F586A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6094"/>
    <w:rPr>
      <w:color w:val="0000FF" w:themeColor="hyperlink"/>
      <w:u w:val="single"/>
    </w:rPr>
  </w:style>
  <w:style w:type="paragraph" w:styleId="ListParagraph">
    <w:name w:val="List Paragraph"/>
    <w:basedOn w:val="Normal"/>
    <w:uiPriority w:val="34"/>
    <w:qFormat/>
    <w:rsid w:val="005F6094"/>
    <w:pPr>
      <w:ind w:left="720"/>
      <w:contextualSpacing/>
    </w:pPr>
  </w:style>
  <w:style w:type="paragraph" w:styleId="Header">
    <w:name w:val="header"/>
    <w:basedOn w:val="Normal"/>
    <w:link w:val="HeaderChar"/>
    <w:rsid w:val="007E23FF"/>
    <w:pPr>
      <w:tabs>
        <w:tab w:val="center" w:pos="4680"/>
        <w:tab w:val="right" w:pos="9360"/>
      </w:tabs>
    </w:pPr>
  </w:style>
  <w:style w:type="character" w:customStyle="1" w:styleId="HeaderChar">
    <w:name w:val="Header Char"/>
    <w:basedOn w:val="DefaultParagraphFont"/>
    <w:link w:val="Header"/>
    <w:rsid w:val="007E23FF"/>
  </w:style>
  <w:style w:type="paragraph" w:styleId="Footer">
    <w:name w:val="footer"/>
    <w:basedOn w:val="Normal"/>
    <w:link w:val="FooterChar"/>
    <w:uiPriority w:val="99"/>
    <w:rsid w:val="007E23FF"/>
    <w:pPr>
      <w:tabs>
        <w:tab w:val="center" w:pos="4680"/>
        <w:tab w:val="right" w:pos="9360"/>
      </w:tabs>
    </w:pPr>
  </w:style>
  <w:style w:type="character" w:customStyle="1" w:styleId="FooterChar">
    <w:name w:val="Footer Char"/>
    <w:basedOn w:val="DefaultParagraphFont"/>
    <w:link w:val="Footer"/>
    <w:uiPriority w:val="99"/>
    <w:rsid w:val="007E23FF"/>
  </w:style>
  <w:style w:type="character" w:styleId="CommentReference">
    <w:name w:val="annotation reference"/>
    <w:basedOn w:val="DefaultParagraphFont"/>
    <w:rsid w:val="00C274B4"/>
    <w:rPr>
      <w:sz w:val="16"/>
      <w:szCs w:val="16"/>
    </w:rPr>
  </w:style>
  <w:style w:type="paragraph" w:styleId="CommentText">
    <w:name w:val="annotation text"/>
    <w:basedOn w:val="Normal"/>
    <w:link w:val="CommentTextChar"/>
    <w:rsid w:val="00C274B4"/>
    <w:rPr>
      <w:sz w:val="20"/>
      <w:szCs w:val="20"/>
    </w:rPr>
  </w:style>
  <w:style w:type="character" w:customStyle="1" w:styleId="CommentTextChar">
    <w:name w:val="Comment Text Char"/>
    <w:basedOn w:val="DefaultParagraphFont"/>
    <w:link w:val="CommentText"/>
    <w:rsid w:val="00C274B4"/>
    <w:rPr>
      <w:sz w:val="20"/>
      <w:szCs w:val="20"/>
    </w:rPr>
  </w:style>
  <w:style w:type="paragraph" w:styleId="CommentSubject">
    <w:name w:val="annotation subject"/>
    <w:basedOn w:val="CommentText"/>
    <w:next w:val="CommentText"/>
    <w:link w:val="CommentSubjectChar"/>
    <w:rsid w:val="00C274B4"/>
    <w:rPr>
      <w:b/>
      <w:bCs/>
    </w:rPr>
  </w:style>
  <w:style w:type="character" w:customStyle="1" w:styleId="CommentSubjectChar">
    <w:name w:val="Comment Subject Char"/>
    <w:basedOn w:val="CommentTextChar"/>
    <w:link w:val="CommentSubject"/>
    <w:rsid w:val="00C274B4"/>
    <w:rPr>
      <w:b/>
      <w:bCs/>
      <w:sz w:val="20"/>
      <w:szCs w:val="20"/>
    </w:rPr>
  </w:style>
  <w:style w:type="paragraph" w:styleId="Revision">
    <w:name w:val="Revision"/>
    <w:hidden/>
    <w:rsid w:val="00C274B4"/>
  </w:style>
  <w:style w:type="paragraph" w:styleId="BalloonText">
    <w:name w:val="Balloon Text"/>
    <w:basedOn w:val="Normal"/>
    <w:link w:val="BalloonTextChar"/>
    <w:rsid w:val="00C274B4"/>
    <w:rPr>
      <w:rFonts w:ascii="Tahoma" w:hAnsi="Tahoma" w:cs="Tahoma"/>
      <w:sz w:val="16"/>
      <w:szCs w:val="16"/>
    </w:rPr>
  </w:style>
  <w:style w:type="character" w:customStyle="1" w:styleId="BalloonTextChar">
    <w:name w:val="Balloon Text Char"/>
    <w:basedOn w:val="DefaultParagraphFont"/>
    <w:link w:val="BalloonText"/>
    <w:rsid w:val="00C274B4"/>
    <w:rPr>
      <w:rFonts w:ascii="Tahoma" w:hAnsi="Tahoma" w:cs="Tahoma"/>
      <w:sz w:val="16"/>
      <w:szCs w:val="16"/>
    </w:rPr>
  </w:style>
  <w:style w:type="character" w:styleId="Strong">
    <w:name w:val="Strong"/>
    <w:basedOn w:val="DefaultParagraphFont"/>
    <w:qFormat/>
    <w:rsid w:val="00981F1F"/>
    <w:rPr>
      <w:b/>
      <w:bCs/>
    </w:rPr>
  </w:style>
  <w:style w:type="table" w:styleId="TableGrid">
    <w:name w:val="Table Grid"/>
    <w:basedOn w:val="TableNormal"/>
    <w:rsid w:val="00887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A317E"/>
    <w:rPr>
      <w:sz w:val="20"/>
      <w:szCs w:val="20"/>
    </w:rPr>
  </w:style>
  <w:style w:type="character" w:customStyle="1" w:styleId="FootnoteTextChar">
    <w:name w:val="Footnote Text Char"/>
    <w:basedOn w:val="DefaultParagraphFont"/>
    <w:link w:val="FootnoteText"/>
    <w:rsid w:val="009A317E"/>
    <w:rPr>
      <w:sz w:val="20"/>
      <w:szCs w:val="20"/>
    </w:rPr>
  </w:style>
  <w:style w:type="character" w:styleId="FootnoteReference">
    <w:name w:val="footnote reference"/>
    <w:basedOn w:val="DefaultParagraphFont"/>
    <w:rsid w:val="009A31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6468">
      <w:bodyDiv w:val="1"/>
      <w:marLeft w:val="0"/>
      <w:marRight w:val="0"/>
      <w:marTop w:val="0"/>
      <w:marBottom w:val="0"/>
      <w:divBdr>
        <w:top w:val="none" w:sz="0" w:space="0" w:color="auto"/>
        <w:left w:val="none" w:sz="0" w:space="0" w:color="auto"/>
        <w:bottom w:val="none" w:sz="0" w:space="0" w:color="auto"/>
        <w:right w:val="none" w:sz="0" w:space="0" w:color="auto"/>
      </w:divBdr>
    </w:div>
    <w:div w:id="217283757">
      <w:bodyDiv w:val="1"/>
      <w:marLeft w:val="0"/>
      <w:marRight w:val="0"/>
      <w:marTop w:val="0"/>
      <w:marBottom w:val="0"/>
      <w:divBdr>
        <w:top w:val="none" w:sz="0" w:space="0" w:color="auto"/>
        <w:left w:val="none" w:sz="0" w:space="0" w:color="auto"/>
        <w:bottom w:val="none" w:sz="0" w:space="0" w:color="auto"/>
        <w:right w:val="none" w:sz="0" w:space="0" w:color="auto"/>
      </w:divBdr>
    </w:div>
    <w:div w:id="348458587">
      <w:bodyDiv w:val="1"/>
      <w:marLeft w:val="0"/>
      <w:marRight w:val="0"/>
      <w:marTop w:val="0"/>
      <w:marBottom w:val="0"/>
      <w:divBdr>
        <w:top w:val="none" w:sz="0" w:space="0" w:color="auto"/>
        <w:left w:val="none" w:sz="0" w:space="0" w:color="auto"/>
        <w:bottom w:val="none" w:sz="0" w:space="0" w:color="auto"/>
        <w:right w:val="none" w:sz="0" w:space="0" w:color="auto"/>
      </w:divBdr>
    </w:div>
    <w:div w:id="759251731">
      <w:bodyDiv w:val="1"/>
      <w:marLeft w:val="0"/>
      <w:marRight w:val="0"/>
      <w:marTop w:val="0"/>
      <w:marBottom w:val="0"/>
      <w:divBdr>
        <w:top w:val="none" w:sz="0" w:space="0" w:color="auto"/>
        <w:left w:val="none" w:sz="0" w:space="0" w:color="auto"/>
        <w:bottom w:val="none" w:sz="0" w:space="0" w:color="auto"/>
        <w:right w:val="none" w:sz="0" w:space="0" w:color="auto"/>
      </w:divBdr>
    </w:div>
    <w:div w:id="1128934637">
      <w:bodyDiv w:val="1"/>
      <w:marLeft w:val="0"/>
      <w:marRight w:val="0"/>
      <w:marTop w:val="0"/>
      <w:marBottom w:val="0"/>
      <w:divBdr>
        <w:top w:val="none" w:sz="0" w:space="0" w:color="auto"/>
        <w:left w:val="none" w:sz="0" w:space="0" w:color="auto"/>
        <w:bottom w:val="none" w:sz="0" w:space="0" w:color="auto"/>
        <w:right w:val="none" w:sz="0" w:space="0" w:color="auto"/>
      </w:divBdr>
    </w:div>
    <w:div w:id="1347561591">
      <w:bodyDiv w:val="1"/>
      <w:marLeft w:val="0"/>
      <w:marRight w:val="0"/>
      <w:marTop w:val="0"/>
      <w:marBottom w:val="0"/>
      <w:divBdr>
        <w:top w:val="none" w:sz="0" w:space="0" w:color="auto"/>
        <w:left w:val="none" w:sz="0" w:space="0" w:color="auto"/>
        <w:bottom w:val="none" w:sz="0" w:space="0" w:color="auto"/>
        <w:right w:val="none" w:sz="0" w:space="0" w:color="auto"/>
      </w:divBdr>
    </w:div>
    <w:div w:id="1740589669">
      <w:bodyDiv w:val="1"/>
      <w:marLeft w:val="0"/>
      <w:marRight w:val="0"/>
      <w:marTop w:val="0"/>
      <w:marBottom w:val="0"/>
      <w:divBdr>
        <w:top w:val="none" w:sz="0" w:space="0" w:color="auto"/>
        <w:left w:val="none" w:sz="0" w:space="0" w:color="auto"/>
        <w:bottom w:val="none" w:sz="0" w:space="0" w:color="auto"/>
        <w:right w:val="none" w:sz="0" w:space="0" w:color="auto"/>
      </w:divBdr>
    </w:div>
    <w:div w:id="1802382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nas2\Q\GC\CONTRACTS\RTF%20Accounting\2014\Work%20Plan\Proposed-2014RTFWorkPl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as2\Q\GC\CONTRACTS\RTF%20Accounting\2014\Work%20Plan\Proposed-2014RTFWorkPl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8"/>
          <c:order val="0"/>
          <c:tx>
            <c:strRef>
              <c:f>'Category (2014)'!$B$14</c:f>
              <c:strCache>
                <c:ptCount val="1"/>
                <c:pt idx="0">
                  <c:v>RTF Management</c:v>
                </c:pt>
              </c:strCache>
            </c:strRef>
          </c:tx>
          <c:invertIfNegative val="0"/>
          <c:cat>
            <c:strRef>
              <c:f>('Category (2014)'!$P$5,'Category (2014)'!$J$5,'Category (2014)'!$D$5)</c:f>
              <c:strCache>
                <c:ptCount val="3"/>
                <c:pt idx="0">
                  <c:v>RTF Contract Staff 
2012</c:v>
                </c:pt>
                <c:pt idx="1">
                  <c:v>RTF Contract Staff 
2013</c:v>
                </c:pt>
                <c:pt idx="2">
                  <c:v>RTF Contract Staff 
2014</c:v>
                </c:pt>
              </c:strCache>
            </c:strRef>
          </c:cat>
          <c:val>
            <c:numRef>
              <c:f>('Category (2014)'!$P$14,'Category (2014)'!$J$14,'Category (2014)'!$D$14)</c:f>
              <c:numCache>
                <c:formatCode>"$"#,##0_);\("$"#,##0\)</c:formatCode>
                <c:ptCount val="3"/>
                <c:pt idx="0">
                  <c:v>98200.000000000015</c:v>
                </c:pt>
                <c:pt idx="1">
                  <c:v>208184.00000000003</c:v>
                </c:pt>
                <c:pt idx="2">
                  <c:v>196000</c:v>
                </c:pt>
              </c:numCache>
            </c:numRef>
          </c:val>
        </c:ser>
        <c:ser>
          <c:idx val="7"/>
          <c:order val="1"/>
          <c:tx>
            <c:strRef>
              <c:f>'Category (2014)'!$B$13</c:f>
              <c:strCache>
                <c:ptCount val="1"/>
                <c:pt idx="0">
                  <c:v>RTF Member Support &amp; Administration</c:v>
                </c:pt>
              </c:strCache>
            </c:strRef>
          </c:tx>
          <c:invertIfNegative val="0"/>
          <c:cat>
            <c:strRef>
              <c:f>('Category (2014)'!$P$5,'Category (2014)'!$J$5,'Category (2014)'!$D$5)</c:f>
              <c:strCache>
                <c:ptCount val="3"/>
                <c:pt idx="0">
                  <c:v>RTF Contract Staff 
2012</c:v>
                </c:pt>
                <c:pt idx="1">
                  <c:v>RTF Contract Staff 
2013</c:v>
                </c:pt>
                <c:pt idx="2">
                  <c:v>RTF Contract Staff 
2014</c:v>
                </c:pt>
              </c:strCache>
            </c:strRef>
          </c:cat>
          <c:val>
            <c:numRef>
              <c:f>('Category (2014)'!$P$13,'Category (2014)'!$J$13,'Category (2014)'!$D$13)</c:f>
              <c:numCache>
                <c:formatCode>"$"#,##0_);\("$"#,##0\)</c:formatCode>
                <c:ptCount val="3"/>
                <c:pt idx="0">
                  <c:v>0</c:v>
                </c:pt>
                <c:pt idx="1">
                  <c:v>0</c:v>
                </c:pt>
                <c:pt idx="2">
                  <c:v>0</c:v>
                </c:pt>
              </c:numCache>
            </c:numRef>
          </c:val>
        </c:ser>
        <c:ser>
          <c:idx val="6"/>
          <c:order val="2"/>
          <c:tx>
            <c:strRef>
              <c:f>'Category (2014)'!$B$12</c:f>
              <c:strCache>
                <c:ptCount val="1"/>
                <c:pt idx="0">
                  <c:v>Website, Database support, Conservation Tracking </c:v>
                </c:pt>
              </c:strCache>
            </c:strRef>
          </c:tx>
          <c:invertIfNegative val="0"/>
          <c:cat>
            <c:strRef>
              <c:f>('Category (2014)'!$P$5,'Category (2014)'!$J$5,'Category (2014)'!$D$5)</c:f>
              <c:strCache>
                <c:ptCount val="3"/>
                <c:pt idx="0">
                  <c:v>RTF Contract Staff 
2012</c:v>
                </c:pt>
                <c:pt idx="1">
                  <c:v>RTF Contract Staff 
2013</c:v>
                </c:pt>
                <c:pt idx="2">
                  <c:v>RTF Contract Staff 
2014</c:v>
                </c:pt>
              </c:strCache>
            </c:strRef>
          </c:cat>
          <c:val>
            <c:numRef>
              <c:f>('Category (2014)'!$P$12,'Category (2014)'!$J$12,'Category (2014)'!$D$12)</c:f>
              <c:numCache>
                <c:formatCode>"$"#,##0_);\("$"#,##0\)</c:formatCode>
                <c:ptCount val="3"/>
                <c:pt idx="0">
                  <c:v>0</c:v>
                </c:pt>
                <c:pt idx="1">
                  <c:v>0</c:v>
                </c:pt>
                <c:pt idx="2">
                  <c:v>40000</c:v>
                </c:pt>
              </c:numCache>
            </c:numRef>
          </c:val>
        </c:ser>
        <c:ser>
          <c:idx val="5"/>
          <c:order val="3"/>
          <c:tx>
            <c:strRef>
              <c:f>'Category (2014)'!$B$11</c:f>
              <c:strCache>
                <c:ptCount val="1"/>
                <c:pt idx="0">
                  <c:v>Regional Coordination</c:v>
                </c:pt>
              </c:strCache>
            </c:strRef>
          </c:tx>
          <c:invertIfNegative val="0"/>
          <c:cat>
            <c:strRef>
              <c:f>('Category (2014)'!$P$5,'Category (2014)'!$J$5,'Category (2014)'!$D$5)</c:f>
              <c:strCache>
                <c:ptCount val="3"/>
                <c:pt idx="0">
                  <c:v>RTF Contract Staff 
2012</c:v>
                </c:pt>
                <c:pt idx="1">
                  <c:v>RTF Contract Staff 
2013</c:v>
                </c:pt>
                <c:pt idx="2">
                  <c:v>RTF Contract Staff 
2014</c:v>
                </c:pt>
              </c:strCache>
            </c:strRef>
          </c:cat>
          <c:val>
            <c:numRef>
              <c:f>('Category (2014)'!$P$11,'Category (2014)'!$J$11,'Category (2014)'!$D$11)</c:f>
              <c:numCache>
                <c:formatCode>"$"#,##0_);\("$"#,##0\)</c:formatCode>
                <c:ptCount val="3"/>
                <c:pt idx="0">
                  <c:v>56956.000000000007</c:v>
                </c:pt>
                <c:pt idx="1">
                  <c:v>65794</c:v>
                </c:pt>
                <c:pt idx="2">
                  <c:v>6000</c:v>
                </c:pt>
              </c:numCache>
            </c:numRef>
          </c:val>
        </c:ser>
        <c:ser>
          <c:idx val="4"/>
          <c:order val="4"/>
          <c:tx>
            <c:strRef>
              <c:f>'Category (2014)'!$B$10</c:f>
              <c:strCache>
                <c:ptCount val="1"/>
                <c:pt idx="0">
                  <c:v>Research Projects &amp; Data Development</c:v>
                </c:pt>
              </c:strCache>
            </c:strRef>
          </c:tx>
          <c:invertIfNegative val="0"/>
          <c:cat>
            <c:strRef>
              <c:f>('Category (2014)'!$P$5,'Category (2014)'!$J$5,'Category (2014)'!$D$5)</c:f>
              <c:strCache>
                <c:ptCount val="3"/>
                <c:pt idx="0">
                  <c:v>RTF Contract Staff 
2012</c:v>
                </c:pt>
                <c:pt idx="1">
                  <c:v>RTF Contract Staff 
2013</c:v>
                </c:pt>
                <c:pt idx="2">
                  <c:v>RTF Contract Staff 
2014</c:v>
                </c:pt>
              </c:strCache>
            </c:strRef>
          </c:cat>
          <c:val>
            <c:numRef>
              <c:f>('Category (2014)'!$P$10,'Category (2014)'!$J$10,'Category (2014)'!$D$10)</c:f>
              <c:numCache>
                <c:formatCode>"$"#,##0_);\("$"#,##0\)</c:formatCode>
                <c:ptCount val="3"/>
                <c:pt idx="0">
                  <c:v>47136.000000000007</c:v>
                </c:pt>
                <c:pt idx="1">
                  <c:v>24451.800000000003</c:v>
                </c:pt>
                <c:pt idx="2">
                  <c:v>60000</c:v>
                </c:pt>
              </c:numCache>
            </c:numRef>
          </c:val>
        </c:ser>
        <c:ser>
          <c:idx val="3"/>
          <c:order val="5"/>
          <c:tx>
            <c:strRef>
              <c:f>'Category (2014)'!$B$9</c:f>
              <c:strCache>
                <c:ptCount val="1"/>
                <c:pt idx="0">
                  <c:v>Tool Development</c:v>
                </c:pt>
              </c:strCache>
            </c:strRef>
          </c:tx>
          <c:invertIfNegative val="0"/>
          <c:cat>
            <c:strRef>
              <c:f>('Category (2014)'!$P$5,'Category (2014)'!$J$5,'Category (2014)'!$D$5)</c:f>
              <c:strCache>
                <c:ptCount val="3"/>
                <c:pt idx="0">
                  <c:v>RTF Contract Staff 
2012</c:v>
                </c:pt>
                <c:pt idx="1">
                  <c:v>RTF Contract Staff 
2013</c:v>
                </c:pt>
                <c:pt idx="2">
                  <c:v>RTF Contract Staff 
2014</c:v>
                </c:pt>
              </c:strCache>
            </c:strRef>
          </c:cat>
          <c:val>
            <c:numRef>
              <c:f>('Category (2014)'!$P$9,'Category (2014)'!$J$9,'Category (2014)'!$D$9)</c:f>
              <c:numCache>
                <c:formatCode>"$"#,##0_);\("$"#,##0\)</c:formatCode>
                <c:ptCount val="3"/>
                <c:pt idx="0">
                  <c:v>47136.000000000007</c:v>
                </c:pt>
                <c:pt idx="1">
                  <c:v>37316</c:v>
                </c:pt>
                <c:pt idx="2">
                  <c:v>120000</c:v>
                </c:pt>
              </c:numCache>
            </c:numRef>
          </c:val>
        </c:ser>
        <c:ser>
          <c:idx val="2"/>
          <c:order val="6"/>
          <c:tx>
            <c:strRef>
              <c:f>'Category (2014)'!$B$8</c:f>
              <c:strCache>
                <c:ptCount val="1"/>
                <c:pt idx="0">
                  <c:v>Standardization of Technical Analysis</c:v>
                </c:pt>
              </c:strCache>
            </c:strRef>
          </c:tx>
          <c:invertIfNegative val="0"/>
          <c:cat>
            <c:strRef>
              <c:f>('Category (2014)'!$P$5,'Category (2014)'!$J$5,'Category (2014)'!$D$5)</c:f>
              <c:strCache>
                <c:ptCount val="3"/>
                <c:pt idx="0">
                  <c:v>RTF Contract Staff 
2012</c:v>
                </c:pt>
                <c:pt idx="1">
                  <c:v>RTF Contract Staff 
2013</c:v>
                </c:pt>
                <c:pt idx="2">
                  <c:v>RTF Contract Staff 
2014</c:v>
                </c:pt>
              </c:strCache>
            </c:strRef>
          </c:cat>
          <c:val>
            <c:numRef>
              <c:f>('Category (2014)'!$P$8,'Category (2014)'!$J$8,'Category (2014)'!$D$8)</c:f>
              <c:numCache>
                <c:formatCode>"$"#,##0_);\("$"#,##0\)</c:formatCode>
                <c:ptCount val="3"/>
                <c:pt idx="0">
                  <c:v>41244.000000000007</c:v>
                </c:pt>
                <c:pt idx="1">
                  <c:v>22095.000000000004</c:v>
                </c:pt>
                <c:pt idx="2">
                  <c:v>19000</c:v>
                </c:pt>
              </c:numCache>
            </c:numRef>
          </c:val>
        </c:ser>
        <c:ser>
          <c:idx val="1"/>
          <c:order val="7"/>
          <c:tx>
            <c:strRef>
              <c:f>'Category (2014)'!$B$7</c:f>
              <c:strCache>
                <c:ptCount val="1"/>
                <c:pt idx="0">
                  <c:v>New Measure Development &amp; Review of Unsolicited Proposals</c:v>
                </c:pt>
              </c:strCache>
            </c:strRef>
          </c:tx>
          <c:invertIfNegative val="0"/>
          <c:cat>
            <c:strRef>
              <c:f>('Category (2014)'!$P$5,'Category (2014)'!$J$5,'Category (2014)'!$D$5)</c:f>
              <c:strCache>
                <c:ptCount val="3"/>
                <c:pt idx="0">
                  <c:v>RTF Contract Staff 
2012</c:v>
                </c:pt>
                <c:pt idx="1">
                  <c:v>RTF Contract Staff 
2013</c:v>
                </c:pt>
                <c:pt idx="2">
                  <c:v>RTF Contract Staff 
2014</c:v>
                </c:pt>
              </c:strCache>
            </c:strRef>
          </c:cat>
          <c:val>
            <c:numRef>
              <c:f>('Category (2014)'!$P$7,'Category (2014)'!$J$7,'Category (2014)'!$D$7)</c:f>
              <c:numCache>
                <c:formatCode>"$"#,##0_);\("$"#,##0\)</c:formatCode>
                <c:ptCount val="3"/>
                <c:pt idx="0">
                  <c:v>36334</c:v>
                </c:pt>
                <c:pt idx="1">
                  <c:v>67758</c:v>
                </c:pt>
                <c:pt idx="2">
                  <c:v>140000</c:v>
                </c:pt>
              </c:numCache>
            </c:numRef>
          </c:val>
        </c:ser>
        <c:ser>
          <c:idx val="0"/>
          <c:order val="8"/>
          <c:tx>
            <c:strRef>
              <c:f>'Category (2014)'!$B$6</c:f>
              <c:strCache>
                <c:ptCount val="1"/>
                <c:pt idx="0">
                  <c:v>Existing Measure Review &amp; Updates</c:v>
                </c:pt>
              </c:strCache>
            </c:strRef>
          </c:tx>
          <c:invertIfNegative val="0"/>
          <c:cat>
            <c:strRef>
              <c:f>('Category (2014)'!$P$5,'Category (2014)'!$J$5,'Category (2014)'!$D$5)</c:f>
              <c:strCache>
                <c:ptCount val="3"/>
                <c:pt idx="0">
                  <c:v>RTF Contract Staff 
2012</c:v>
                </c:pt>
                <c:pt idx="1">
                  <c:v>RTF Contract Staff 
2013</c:v>
                </c:pt>
                <c:pt idx="2">
                  <c:v>RTF Contract Staff 
2014</c:v>
                </c:pt>
              </c:strCache>
            </c:strRef>
          </c:cat>
          <c:val>
            <c:numRef>
              <c:f>('Category (2014)'!$P$6,'Category (2014)'!$J$6,'Category (2014)'!$D$6)</c:f>
              <c:numCache>
                <c:formatCode>"$"#,##0_);\("$"#,##0\)</c:formatCode>
                <c:ptCount val="3"/>
                <c:pt idx="0">
                  <c:v>85434.000000000015</c:v>
                </c:pt>
                <c:pt idx="1">
                  <c:v>421376.20000000007</c:v>
                </c:pt>
                <c:pt idx="2">
                  <c:v>410000</c:v>
                </c:pt>
              </c:numCache>
            </c:numRef>
          </c:val>
        </c:ser>
        <c:dLbls>
          <c:showLegendKey val="0"/>
          <c:showVal val="0"/>
          <c:showCatName val="0"/>
          <c:showSerName val="0"/>
          <c:showPercent val="0"/>
          <c:showBubbleSize val="0"/>
        </c:dLbls>
        <c:gapWidth val="150"/>
        <c:overlap val="100"/>
        <c:axId val="340431200"/>
        <c:axId val="340430808"/>
      </c:barChart>
      <c:catAx>
        <c:axId val="340431200"/>
        <c:scaling>
          <c:orientation val="minMax"/>
        </c:scaling>
        <c:delete val="0"/>
        <c:axPos val="b"/>
        <c:numFmt formatCode="General" sourceLinked="0"/>
        <c:majorTickMark val="out"/>
        <c:minorTickMark val="none"/>
        <c:tickLblPos val="nextTo"/>
        <c:txPr>
          <a:bodyPr/>
          <a:lstStyle/>
          <a:p>
            <a:pPr>
              <a:defRPr sz="1000" b="0"/>
            </a:pPr>
            <a:endParaRPr lang="en-US"/>
          </a:p>
        </c:txPr>
        <c:crossAx val="340430808"/>
        <c:crosses val="autoZero"/>
        <c:auto val="1"/>
        <c:lblAlgn val="ctr"/>
        <c:lblOffset val="100"/>
        <c:noMultiLvlLbl val="0"/>
      </c:catAx>
      <c:valAx>
        <c:axId val="340430808"/>
        <c:scaling>
          <c:orientation val="minMax"/>
        </c:scaling>
        <c:delete val="0"/>
        <c:axPos val="l"/>
        <c:numFmt formatCode="&quot;$&quot;#,##0_);\(&quot;$&quot;#,##0\)" sourceLinked="1"/>
        <c:majorTickMark val="out"/>
        <c:minorTickMark val="none"/>
        <c:tickLblPos val="nextTo"/>
        <c:txPr>
          <a:bodyPr/>
          <a:lstStyle/>
          <a:p>
            <a:pPr>
              <a:defRPr sz="1000"/>
            </a:pPr>
            <a:endParaRPr lang="en-US"/>
          </a:p>
        </c:txPr>
        <c:crossAx val="340431200"/>
        <c:crosses val="autoZero"/>
        <c:crossBetween val="between"/>
      </c:valAx>
    </c:plotArea>
    <c:legend>
      <c:legendPos val="r"/>
      <c:layout/>
      <c:overlay val="0"/>
      <c:txPr>
        <a:bodyPr/>
        <a:lstStyle/>
        <a:p>
          <a:pPr>
            <a:defRPr sz="1000"/>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8"/>
          <c:order val="0"/>
          <c:tx>
            <c:strRef>
              <c:f>'Category (2014)'!$B$14</c:f>
              <c:strCache>
                <c:ptCount val="1"/>
                <c:pt idx="0">
                  <c:v>RTF Management</c:v>
                </c:pt>
              </c:strCache>
            </c:strRef>
          </c:tx>
          <c:invertIfNegative val="0"/>
          <c:cat>
            <c:strRef>
              <c:f>('Category (2014)'!$O$5,'Category (2014)'!$I$5,'Category (2014)'!$C$5)</c:f>
              <c:strCache>
                <c:ptCount val="3"/>
                <c:pt idx="0">
                  <c:v>Contract RFP 
2012</c:v>
                </c:pt>
                <c:pt idx="1">
                  <c:v>Contract RFP 
2013</c:v>
                </c:pt>
                <c:pt idx="2">
                  <c:v>Contract RFP
2014</c:v>
                </c:pt>
              </c:strCache>
            </c:strRef>
          </c:cat>
          <c:val>
            <c:numRef>
              <c:f>('Category (2014)'!$O$14,'Category (2014)'!$I$14,'Category (2014)'!$C$14)</c:f>
              <c:numCache>
                <c:formatCode>"$"#,##0_);\("$"#,##0\)</c:formatCode>
                <c:ptCount val="3"/>
                <c:pt idx="0">
                  <c:v>4910.0000000000009</c:v>
                </c:pt>
                <c:pt idx="1">
                  <c:v>2946.0000000000005</c:v>
                </c:pt>
                <c:pt idx="2">
                  <c:v>4000</c:v>
                </c:pt>
              </c:numCache>
            </c:numRef>
          </c:val>
        </c:ser>
        <c:ser>
          <c:idx val="7"/>
          <c:order val="1"/>
          <c:tx>
            <c:strRef>
              <c:f>'Category (2014)'!$B$13</c:f>
              <c:strCache>
                <c:ptCount val="1"/>
                <c:pt idx="0">
                  <c:v>RTF Member Support &amp; Administration</c:v>
                </c:pt>
              </c:strCache>
            </c:strRef>
          </c:tx>
          <c:invertIfNegative val="0"/>
          <c:cat>
            <c:strRef>
              <c:f>('Category (2014)'!$O$5,'Category (2014)'!$I$5,'Category (2014)'!$C$5)</c:f>
              <c:strCache>
                <c:ptCount val="3"/>
                <c:pt idx="0">
                  <c:v>Contract RFP 
2012</c:v>
                </c:pt>
                <c:pt idx="1">
                  <c:v>Contract RFP 
2013</c:v>
                </c:pt>
                <c:pt idx="2">
                  <c:v>Contract RFP
2014</c:v>
                </c:pt>
              </c:strCache>
            </c:strRef>
          </c:cat>
          <c:val>
            <c:numRef>
              <c:f>('Category (2014)'!$O$13,'Category (2014)'!$I$13,'Category (2014)'!$C$13)</c:f>
              <c:numCache>
                <c:formatCode>"$"#,##0_);\("$"#,##0\)</c:formatCode>
                <c:ptCount val="3"/>
                <c:pt idx="0">
                  <c:v>170868.00000000003</c:v>
                </c:pt>
                <c:pt idx="1">
                  <c:v>170868.00000000003</c:v>
                </c:pt>
                <c:pt idx="2">
                  <c:v>145000</c:v>
                </c:pt>
              </c:numCache>
            </c:numRef>
          </c:val>
        </c:ser>
        <c:ser>
          <c:idx val="6"/>
          <c:order val="2"/>
          <c:tx>
            <c:strRef>
              <c:f>'Category (2014)'!$B$12</c:f>
              <c:strCache>
                <c:ptCount val="1"/>
                <c:pt idx="0">
                  <c:v>Website, Database support, Conservation Tracking </c:v>
                </c:pt>
              </c:strCache>
            </c:strRef>
          </c:tx>
          <c:invertIfNegative val="0"/>
          <c:cat>
            <c:strRef>
              <c:f>('Category (2014)'!$O$5,'Category (2014)'!$I$5,'Category (2014)'!$C$5)</c:f>
              <c:strCache>
                <c:ptCount val="3"/>
                <c:pt idx="0">
                  <c:v>Contract RFP 
2012</c:v>
                </c:pt>
                <c:pt idx="1">
                  <c:v>Contract RFP 
2013</c:v>
                </c:pt>
                <c:pt idx="2">
                  <c:v>Contract RFP
2014</c:v>
                </c:pt>
              </c:strCache>
            </c:strRef>
          </c:cat>
          <c:val>
            <c:numRef>
              <c:f>('Category (2014)'!$O$12,'Category (2014)'!$I$12,'Category (2014)'!$C$12)</c:f>
              <c:numCache>
                <c:formatCode>"$"#,##0_);\("$"#,##0\)</c:formatCode>
                <c:ptCount val="3"/>
                <c:pt idx="0">
                  <c:v>0</c:v>
                </c:pt>
                <c:pt idx="1">
                  <c:v>0</c:v>
                </c:pt>
                <c:pt idx="2">
                  <c:v>25000</c:v>
                </c:pt>
              </c:numCache>
            </c:numRef>
          </c:val>
        </c:ser>
        <c:ser>
          <c:idx val="5"/>
          <c:order val="3"/>
          <c:tx>
            <c:strRef>
              <c:f>'Category (2014)'!$B$11</c:f>
              <c:strCache>
                <c:ptCount val="1"/>
                <c:pt idx="0">
                  <c:v>Regional Coordination</c:v>
                </c:pt>
              </c:strCache>
            </c:strRef>
          </c:tx>
          <c:invertIfNegative val="0"/>
          <c:cat>
            <c:strRef>
              <c:f>('Category (2014)'!$O$5,'Category (2014)'!$I$5,'Category (2014)'!$C$5)</c:f>
              <c:strCache>
                <c:ptCount val="3"/>
                <c:pt idx="0">
                  <c:v>Contract RFP 
2012</c:v>
                </c:pt>
                <c:pt idx="1">
                  <c:v>Contract RFP 
2013</c:v>
                </c:pt>
                <c:pt idx="2">
                  <c:v>Contract RFP
2014</c:v>
                </c:pt>
              </c:strCache>
            </c:strRef>
          </c:cat>
          <c:val>
            <c:numRef>
              <c:f>('Category (2014)'!$O$11,'Category (2014)'!$I$11,'Category (2014)'!$C$11)</c:f>
              <c:numCache>
                <c:formatCode>"$"#,##0_);\("$"#,##0\)</c:formatCode>
                <c:ptCount val="3"/>
                <c:pt idx="0">
                  <c:v>0</c:v>
                </c:pt>
                <c:pt idx="1">
                  <c:v>19640.000000000004</c:v>
                </c:pt>
                <c:pt idx="2">
                  <c:v>12500</c:v>
                </c:pt>
              </c:numCache>
            </c:numRef>
          </c:val>
        </c:ser>
        <c:ser>
          <c:idx val="4"/>
          <c:order val="4"/>
          <c:tx>
            <c:strRef>
              <c:f>'Category (2014)'!$B$10</c:f>
              <c:strCache>
                <c:ptCount val="1"/>
                <c:pt idx="0">
                  <c:v>Research Projects &amp; Data Development</c:v>
                </c:pt>
              </c:strCache>
            </c:strRef>
          </c:tx>
          <c:invertIfNegative val="0"/>
          <c:cat>
            <c:strRef>
              <c:f>('Category (2014)'!$O$5,'Category (2014)'!$I$5,'Category (2014)'!$C$5)</c:f>
              <c:strCache>
                <c:ptCount val="3"/>
                <c:pt idx="0">
                  <c:v>Contract RFP 
2012</c:v>
                </c:pt>
                <c:pt idx="1">
                  <c:v>Contract RFP 
2013</c:v>
                </c:pt>
                <c:pt idx="2">
                  <c:v>Contract RFP
2014</c:v>
                </c:pt>
              </c:strCache>
            </c:strRef>
          </c:cat>
          <c:val>
            <c:numRef>
              <c:f>('Category (2014)'!$O$10,'Category (2014)'!$I$10,'Category (2014)'!$C$10)</c:f>
              <c:numCache>
                <c:formatCode>"$"#,##0_);\("$"#,##0\)</c:formatCode>
                <c:ptCount val="3"/>
                <c:pt idx="0">
                  <c:v>176760.00000000003</c:v>
                </c:pt>
                <c:pt idx="1">
                  <c:v>124714.00000000001</c:v>
                </c:pt>
                <c:pt idx="2">
                  <c:v>60000</c:v>
                </c:pt>
              </c:numCache>
            </c:numRef>
          </c:val>
        </c:ser>
        <c:ser>
          <c:idx val="3"/>
          <c:order val="5"/>
          <c:tx>
            <c:strRef>
              <c:f>'Category (2014)'!$B$9</c:f>
              <c:strCache>
                <c:ptCount val="1"/>
                <c:pt idx="0">
                  <c:v>Tool Development</c:v>
                </c:pt>
              </c:strCache>
            </c:strRef>
          </c:tx>
          <c:invertIfNegative val="0"/>
          <c:cat>
            <c:strRef>
              <c:f>('Category (2014)'!$O$5,'Category (2014)'!$I$5,'Category (2014)'!$C$5)</c:f>
              <c:strCache>
                <c:ptCount val="3"/>
                <c:pt idx="0">
                  <c:v>Contract RFP 
2012</c:v>
                </c:pt>
                <c:pt idx="1">
                  <c:v>Contract RFP 
2013</c:v>
                </c:pt>
                <c:pt idx="2">
                  <c:v>Contract RFP
2014</c:v>
                </c:pt>
              </c:strCache>
            </c:strRef>
          </c:cat>
          <c:val>
            <c:numRef>
              <c:f>('Category (2014)'!$O$9,'Category (2014)'!$I$9,'Category (2014)'!$C$9)</c:f>
              <c:numCache>
                <c:formatCode>"$"#,##0_);\("$"#,##0\)</c:formatCode>
                <c:ptCount val="3"/>
                <c:pt idx="0">
                  <c:v>84452.000000000015</c:v>
                </c:pt>
                <c:pt idx="1">
                  <c:v>55974.000000000007</c:v>
                </c:pt>
                <c:pt idx="2">
                  <c:v>65000</c:v>
                </c:pt>
              </c:numCache>
            </c:numRef>
          </c:val>
        </c:ser>
        <c:ser>
          <c:idx val="2"/>
          <c:order val="6"/>
          <c:tx>
            <c:strRef>
              <c:f>'Category (2014)'!$B$8</c:f>
              <c:strCache>
                <c:ptCount val="1"/>
                <c:pt idx="0">
                  <c:v>Standardization of Technical Analysis</c:v>
                </c:pt>
              </c:strCache>
            </c:strRef>
          </c:tx>
          <c:invertIfNegative val="0"/>
          <c:cat>
            <c:strRef>
              <c:f>('Category (2014)'!$O$5,'Category (2014)'!$I$5,'Category (2014)'!$C$5)</c:f>
              <c:strCache>
                <c:ptCount val="3"/>
                <c:pt idx="0">
                  <c:v>Contract RFP 
2012</c:v>
                </c:pt>
                <c:pt idx="1">
                  <c:v>Contract RFP 
2013</c:v>
                </c:pt>
                <c:pt idx="2">
                  <c:v>Contract RFP
2014</c:v>
                </c:pt>
              </c:strCache>
            </c:strRef>
          </c:cat>
          <c:val>
            <c:numRef>
              <c:f>('Category (2014)'!$O$8,'Category (2014)'!$I$8,'Category (2014)'!$C$8)</c:f>
              <c:numCache>
                <c:formatCode>"$"#,##0_);\("$"#,##0\)</c:formatCode>
                <c:ptCount val="3"/>
                <c:pt idx="0">
                  <c:v>131588</c:v>
                </c:pt>
                <c:pt idx="1">
                  <c:v>43208.000000000007</c:v>
                </c:pt>
                <c:pt idx="2">
                  <c:v>40000</c:v>
                </c:pt>
              </c:numCache>
            </c:numRef>
          </c:val>
        </c:ser>
        <c:ser>
          <c:idx val="1"/>
          <c:order val="7"/>
          <c:tx>
            <c:strRef>
              <c:f>'Category (2014)'!$B$7</c:f>
              <c:strCache>
                <c:ptCount val="1"/>
                <c:pt idx="0">
                  <c:v>New Measure Development &amp; Review of Unsolicited Proposals</c:v>
                </c:pt>
              </c:strCache>
            </c:strRef>
          </c:tx>
          <c:invertIfNegative val="0"/>
          <c:cat>
            <c:strRef>
              <c:f>('Category (2014)'!$O$5,'Category (2014)'!$I$5,'Category (2014)'!$C$5)</c:f>
              <c:strCache>
                <c:ptCount val="3"/>
                <c:pt idx="0">
                  <c:v>Contract RFP 
2012</c:v>
                </c:pt>
                <c:pt idx="1">
                  <c:v>Contract RFP 
2013</c:v>
                </c:pt>
                <c:pt idx="2">
                  <c:v>Contract RFP
2014</c:v>
                </c:pt>
              </c:strCache>
            </c:strRef>
          </c:cat>
          <c:val>
            <c:numRef>
              <c:f>('Category (2014)'!$O$7,'Category (2014)'!$I$7,'Category (2014)'!$C$7)</c:f>
              <c:numCache>
                <c:formatCode>"$"#,##0_);\("$"#,##0\)</c:formatCode>
                <c:ptCount val="3"/>
                <c:pt idx="0">
                  <c:v>99182.000000000015</c:v>
                </c:pt>
                <c:pt idx="1">
                  <c:v>90344.000000000015</c:v>
                </c:pt>
                <c:pt idx="2">
                  <c:v>65000</c:v>
                </c:pt>
              </c:numCache>
            </c:numRef>
          </c:val>
        </c:ser>
        <c:ser>
          <c:idx val="0"/>
          <c:order val="8"/>
          <c:tx>
            <c:strRef>
              <c:f>'Category (2014)'!$B$6</c:f>
              <c:strCache>
                <c:ptCount val="1"/>
                <c:pt idx="0">
                  <c:v>Existing Measure Review &amp; Updates</c:v>
                </c:pt>
              </c:strCache>
            </c:strRef>
          </c:tx>
          <c:invertIfNegative val="0"/>
          <c:cat>
            <c:strRef>
              <c:f>('Category (2014)'!$O$5,'Category (2014)'!$I$5,'Category (2014)'!$C$5)</c:f>
              <c:strCache>
                <c:ptCount val="3"/>
                <c:pt idx="0">
                  <c:v>Contract RFP 
2012</c:v>
                </c:pt>
                <c:pt idx="1">
                  <c:v>Contract RFP 
2013</c:v>
                </c:pt>
                <c:pt idx="2">
                  <c:v>Contract RFP
2014</c:v>
                </c:pt>
              </c:strCache>
            </c:strRef>
          </c:cat>
          <c:val>
            <c:numRef>
              <c:f>('Category (2014)'!$O$6,'Category (2014)'!$I$6,'Category (2014)'!$C$6)</c:f>
              <c:numCache>
                <c:formatCode>"$"#,##0_);\("$"#,##0\)</c:formatCode>
                <c:ptCount val="3"/>
                <c:pt idx="0">
                  <c:v>392800.00000000006</c:v>
                </c:pt>
                <c:pt idx="1">
                  <c:v>118331.00000000001</c:v>
                </c:pt>
                <c:pt idx="2">
                  <c:v>65500</c:v>
                </c:pt>
              </c:numCache>
            </c:numRef>
          </c:val>
        </c:ser>
        <c:dLbls>
          <c:showLegendKey val="0"/>
          <c:showVal val="0"/>
          <c:showCatName val="0"/>
          <c:showSerName val="0"/>
          <c:showPercent val="0"/>
          <c:showBubbleSize val="0"/>
        </c:dLbls>
        <c:gapWidth val="150"/>
        <c:overlap val="100"/>
        <c:axId val="428956872"/>
        <c:axId val="428956480"/>
      </c:barChart>
      <c:catAx>
        <c:axId val="428956872"/>
        <c:scaling>
          <c:orientation val="minMax"/>
        </c:scaling>
        <c:delete val="0"/>
        <c:axPos val="b"/>
        <c:numFmt formatCode="General" sourceLinked="0"/>
        <c:majorTickMark val="out"/>
        <c:minorTickMark val="none"/>
        <c:tickLblPos val="nextTo"/>
        <c:crossAx val="428956480"/>
        <c:crosses val="autoZero"/>
        <c:auto val="1"/>
        <c:lblAlgn val="ctr"/>
        <c:lblOffset val="100"/>
        <c:noMultiLvlLbl val="0"/>
      </c:catAx>
      <c:valAx>
        <c:axId val="428956480"/>
        <c:scaling>
          <c:orientation val="minMax"/>
        </c:scaling>
        <c:delete val="0"/>
        <c:axPos val="l"/>
        <c:numFmt formatCode="&quot;$&quot;#,##0_);\(&quot;$&quot;#,##0\)" sourceLinked="1"/>
        <c:majorTickMark val="out"/>
        <c:minorTickMark val="none"/>
        <c:tickLblPos val="nextTo"/>
        <c:crossAx val="428956872"/>
        <c:crosses val="autoZero"/>
        <c:crossBetween val="between"/>
      </c:valAx>
    </c:plotArea>
    <c:legend>
      <c:legendPos val="r"/>
      <c:layout/>
      <c:overlay val="0"/>
    </c:legend>
    <c:plotVisOnly val="1"/>
    <c:dispBlanksAs val="gap"/>
    <c:showDLblsOverMax val="0"/>
  </c:chart>
  <c:spPr>
    <a:ln>
      <a:noFill/>
    </a:ln>
  </c:spPr>
  <c:txPr>
    <a:bodyPr/>
    <a:lstStyle/>
    <a:p>
      <a:pPr>
        <a:defRPr sz="10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F9B06-C7F9-4E21-B1B0-925EB0A3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B5D73852</Template>
  <TotalTime>1</TotalTime>
  <Pages>9</Pages>
  <Words>3147</Words>
  <Characters>17719</Characters>
  <Application>Microsoft Office Word</Application>
  <DocSecurity>0</DocSecurity>
  <Lines>478</Lines>
  <Paragraphs>245</Paragraphs>
  <ScaleCrop>false</ScaleCrop>
  <HeadingPairs>
    <vt:vector size="2" baseType="variant">
      <vt:variant>
        <vt:lpstr>Title</vt:lpstr>
      </vt:variant>
      <vt:variant>
        <vt:i4>1</vt:i4>
      </vt:variant>
    </vt:vector>
  </HeadingPairs>
  <TitlesOfParts>
    <vt:vector size="1" baseType="lpstr">
      <vt:lpstr>RTF Business Plan</vt:lpstr>
    </vt:vector>
  </TitlesOfParts>
  <Company>Kendall Energy Consulting, LLC</Company>
  <LinksUpToDate>false</LinksUpToDate>
  <CharactersWithSpaces>20621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Business Plan</dc:title>
  <dc:creator>Nick O'Neil</dc:creator>
  <cp:lastModifiedBy>Garrett Herndon</cp:lastModifiedBy>
  <cp:revision>2</cp:revision>
  <cp:lastPrinted>2011-11-21T16:26:00Z</cp:lastPrinted>
  <dcterms:created xsi:type="dcterms:W3CDTF">2016-03-10T21:38:00Z</dcterms:created>
  <dcterms:modified xsi:type="dcterms:W3CDTF">2016-03-10T21:38:00Z</dcterms:modified>
</cp:coreProperties>
</file>