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6B08E7" w:rsidP="00D17856">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681EFD" w:rsidP="00D17856">
      <w:pPr>
        <w:jc w:val="center"/>
        <w:rPr>
          <w:b/>
          <w:sz w:val="36"/>
          <w:szCs w:val="36"/>
        </w:rPr>
      </w:pPr>
      <w:r>
        <w:rPr>
          <w:b/>
          <w:sz w:val="36"/>
          <w:szCs w:val="36"/>
        </w:rPr>
        <w:t>Ocean</w:t>
      </w:r>
      <w:r w:rsidR="006B08E7">
        <w:rPr>
          <w:b/>
          <w:sz w:val="36"/>
          <w:szCs w:val="36"/>
        </w:rPr>
        <w:t xml:space="preserve"> Research</w:t>
      </w:r>
    </w:p>
    <w:p w:rsidR="00D17856" w:rsidRPr="005A5BD6" w:rsidRDefault="00D17856" w:rsidP="00D17856">
      <w:pPr>
        <w:jc w:val="center"/>
      </w:pPr>
    </w:p>
    <w:p w:rsidR="004C638B" w:rsidRPr="00E60CCD" w:rsidRDefault="004C638B" w:rsidP="000E71A1">
      <w:pPr>
        <w:autoSpaceDE w:val="0"/>
        <w:autoSpaceDN w:val="0"/>
        <w:adjustRightInd w:val="0"/>
        <w:rPr>
          <w:color w:val="000000"/>
          <w:u w:val="single"/>
        </w:rPr>
      </w:pPr>
      <w:r w:rsidRPr="00E60CCD">
        <w:rPr>
          <w:b/>
          <w:color w:val="000000"/>
          <w:u w:val="single"/>
        </w:rPr>
        <w:t>Issue:</w:t>
      </w:r>
      <w:r w:rsidR="001C3E03" w:rsidRPr="00E60CCD">
        <w:rPr>
          <w:color w:val="000000"/>
          <w:u w:val="single"/>
        </w:rPr>
        <w:t xml:space="preserve"> </w:t>
      </w:r>
    </w:p>
    <w:p w:rsidR="00FA074B" w:rsidRPr="00E60CCD" w:rsidRDefault="008F4F7E" w:rsidP="00520029">
      <w:pPr>
        <w:pStyle w:val="Default"/>
        <w:rPr>
          <w:rFonts w:ascii="TimesNewRomanPSMT" w:hAnsi="TimesNewRomanPSMT" w:cs="TimesNewRomanPSMT"/>
        </w:rPr>
      </w:pPr>
      <w:r w:rsidRPr="00E60CCD">
        <w:rPr>
          <w:rFonts w:ascii="TimesNewRomanPSMT" w:hAnsi="TimesNewRomanPSMT" w:cs="TimesNewRomanPSMT"/>
        </w:rPr>
        <w:t xml:space="preserve">Staff has </w:t>
      </w:r>
      <w:r w:rsidR="00FA074B" w:rsidRPr="00E60CCD">
        <w:rPr>
          <w:rFonts w:ascii="TimesNewRomanPSMT" w:hAnsi="TimesNewRomanPSMT" w:cs="TimesNewRomanPSMT"/>
        </w:rPr>
        <w:t>concern that coordination is lacking among the proposals</w:t>
      </w:r>
      <w:r w:rsidRPr="00E60CCD">
        <w:rPr>
          <w:rFonts w:ascii="TimesNewRomanPSMT" w:hAnsi="TimesNewRomanPSMT" w:cs="TimesNewRomanPSMT"/>
        </w:rPr>
        <w:t xml:space="preserve">, that it is unclear how the projects are addressing </w:t>
      </w:r>
      <w:r w:rsidR="00371C3C" w:rsidRPr="00E60CCD">
        <w:rPr>
          <w:rFonts w:ascii="TimesNewRomanPSMT" w:hAnsi="TimesNewRomanPSMT" w:cs="TimesNewRomanPSMT"/>
        </w:rPr>
        <w:t>the o</w:t>
      </w:r>
      <w:r w:rsidR="00D75708" w:rsidRPr="00E60CCD">
        <w:rPr>
          <w:rFonts w:ascii="TimesNewRomanPSMT" w:hAnsi="TimesNewRomanPSMT" w:cs="TimesNewRomanPSMT"/>
        </w:rPr>
        <w:t>cean strategies described in the 2009 Fish and Wildlife Program</w:t>
      </w:r>
      <w:r w:rsidR="00BD10E9" w:rsidRPr="00E60CCD">
        <w:rPr>
          <w:rFonts w:ascii="TimesNewRomanPSMT" w:hAnsi="TimesNewRomanPSMT" w:cs="TimesNewRomanPSMT"/>
        </w:rPr>
        <w:t xml:space="preserve"> and how the information gained through these projects will result in </w:t>
      </w:r>
      <w:r w:rsidR="00B84C92" w:rsidRPr="00E60CCD">
        <w:rPr>
          <w:rFonts w:ascii="TimesNewRomanPSMT" w:hAnsi="TimesNewRomanPSMT" w:cs="TimesNewRomanPSMT"/>
        </w:rPr>
        <w:t xml:space="preserve">salmon </w:t>
      </w:r>
      <w:r w:rsidR="00BD10E9" w:rsidRPr="00E60CCD">
        <w:rPr>
          <w:rFonts w:ascii="TimesNewRomanPSMT" w:hAnsi="TimesNewRomanPSMT" w:cs="TimesNewRomanPSMT"/>
        </w:rPr>
        <w:t>management changes</w:t>
      </w:r>
      <w:r w:rsidR="00B84C92" w:rsidRPr="00E60CCD">
        <w:rPr>
          <w:rFonts w:ascii="TimesNewRomanPSMT" w:hAnsi="TimesNewRomanPSMT" w:cs="TimesNewRomanPSMT"/>
        </w:rPr>
        <w:t xml:space="preserve"> within the Columbia River Basin</w:t>
      </w:r>
      <w:r w:rsidRPr="00E60CCD">
        <w:rPr>
          <w:rFonts w:ascii="TimesNewRomanPSMT" w:hAnsi="TimesNewRomanPSMT" w:cs="TimesNewRomanPSMT"/>
        </w:rPr>
        <w:t>.</w:t>
      </w:r>
    </w:p>
    <w:p w:rsidR="004310D6" w:rsidRDefault="004310D6" w:rsidP="008879B1">
      <w:pPr>
        <w:pStyle w:val="Default"/>
        <w:rPr>
          <w:rFonts w:ascii="Times New Roman" w:hAnsi="Times New Roman" w:cs="Times New Roman"/>
        </w:rPr>
      </w:pPr>
    </w:p>
    <w:p w:rsidR="00411AD3" w:rsidRDefault="00411AD3" w:rsidP="00411AD3">
      <w:pPr>
        <w:autoSpaceDE w:val="0"/>
        <w:autoSpaceDN w:val="0"/>
        <w:adjustRightInd w:val="0"/>
        <w:rPr>
          <w:b/>
          <w:color w:val="000000"/>
        </w:rPr>
      </w:pPr>
      <w:r>
        <w:rPr>
          <w:b/>
          <w:color w:val="000000"/>
        </w:rPr>
        <w:t>Budget History and proposed funding for the three proposed ocean research projects</w:t>
      </w:r>
    </w:p>
    <w:p w:rsidR="00411AD3" w:rsidRDefault="00411AD3" w:rsidP="00411AD3">
      <w:pPr>
        <w:autoSpaceDE w:val="0"/>
        <w:autoSpaceDN w:val="0"/>
        <w:adjustRightInd w:val="0"/>
        <w:rPr>
          <w:b/>
          <w:color w:val="000000"/>
        </w:rPr>
      </w:pPr>
    </w:p>
    <w:p w:rsidR="00411AD3" w:rsidRDefault="00411AD3" w:rsidP="00411AD3">
      <w:pPr>
        <w:autoSpaceDE w:val="0"/>
        <w:autoSpaceDN w:val="0"/>
        <w:adjustRightInd w:val="0"/>
        <w:rPr>
          <w:b/>
          <w:color w:val="000000"/>
        </w:rPr>
      </w:pPr>
      <w:r w:rsidRPr="00FE2B16">
        <w:rPr>
          <w:b/>
          <w:color w:val="000000"/>
        </w:rPr>
        <w:drawing>
          <wp:inline distT="0" distB="0" distL="0" distR="0">
            <wp:extent cx="4581525" cy="2162175"/>
            <wp:effectExtent l="19050" t="0" r="9525"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11AD3" w:rsidRDefault="00411AD3" w:rsidP="00411AD3">
      <w:pPr>
        <w:autoSpaceDE w:val="0"/>
        <w:autoSpaceDN w:val="0"/>
        <w:adjustRightInd w:val="0"/>
        <w:rPr>
          <w:b/>
          <w:color w:val="000000"/>
        </w:rPr>
      </w:pPr>
    </w:p>
    <w:p w:rsidR="00DC7320" w:rsidRPr="00E60CCD" w:rsidRDefault="004C638B" w:rsidP="000E71A1">
      <w:pPr>
        <w:autoSpaceDE w:val="0"/>
        <w:autoSpaceDN w:val="0"/>
        <w:adjustRightInd w:val="0"/>
        <w:rPr>
          <w:b/>
          <w:color w:val="000000"/>
        </w:rPr>
      </w:pPr>
      <w:r w:rsidRPr="00E60CCD">
        <w:rPr>
          <w:b/>
          <w:u w:val="single"/>
        </w:rPr>
        <w:t>Background and staff comments</w:t>
      </w:r>
      <w:r w:rsidR="000E3EE6" w:rsidRPr="00E60CCD">
        <w:rPr>
          <w:b/>
          <w:u w:val="single"/>
        </w:rPr>
        <w:t>:</w:t>
      </w:r>
      <w:r w:rsidR="000E3EE6" w:rsidRPr="00E60CCD">
        <w:rPr>
          <w:b/>
        </w:rPr>
        <w:t xml:space="preserve">  </w:t>
      </w:r>
    </w:p>
    <w:p w:rsidR="005A5BD6" w:rsidRPr="00E60CCD" w:rsidRDefault="007853CB" w:rsidP="005A5BD6">
      <w:pPr>
        <w:autoSpaceDE w:val="0"/>
        <w:autoSpaceDN w:val="0"/>
        <w:adjustRightInd w:val="0"/>
        <w:rPr>
          <w:rFonts w:ascii="TimesNewRomanPSMT" w:hAnsi="TimesNewRomanPSMT" w:cs="TimesNewRomanPSMT"/>
        </w:rPr>
      </w:pPr>
      <w:r w:rsidRPr="00E60CCD">
        <w:rPr>
          <w:rFonts w:ascii="TimesNewRomanPSMT" w:hAnsi="TimesNewRomanPSMT" w:cs="TimesNewRomanPSMT"/>
        </w:rPr>
        <w:t>T</w:t>
      </w:r>
      <w:r w:rsidR="005A5BD6" w:rsidRPr="00E60CCD">
        <w:rPr>
          <w:rFonts w:ascii="TimesNewRomanPSMT" w:hAnsi="TimesNewRomanPSMT" w:cs="TimesNewRomanPSMT"/>
        </w:rPr>
        <w:t>he 2009 Fish and Wildlife Program</w:t>
      </w:r>
      <w:r w:rsidR="00AC06AF" w:rsidRPr="00E60CCD">
        <w:rPr>
          <w:rFonts w:ascii="TimesNewRomanPSMT" w:hAnsi="TimesNewRomanPSMT" w:cs="TimesNewRomanPSMT"/>
        </w:rPr>
        <w:t xml:space="preserve"> </w:t>
      </w:r>
      <w:proofErr w:type="gramStart"/>
      <w:r w:rsidR="00520029" w:rsidRPr="00E60CCD">
        <w:rPr>
          <w:rFonts w:ascii="TimesNewRomanPSMT" w:hAnsi="TimesNewRomanPSMT" w:cs="TimesNewRomanPSMT"/>
        </w:rPr>
        <w:t>describes</w:t>
      </w:r>
      <w:proofErr w:type="gramEnd"/>
      <w:r w:rsidR="005A5BD6" w:rsidRPr="00E60CCD">
        <w:rPr>
          <w:rFonts w:ascii="TimesNewRomanPSMT" w:hAnsi="TimesNewRomanPSMT" w:cs="TimesNewRomanPSMT"/>
        </w:rPr>
        <w:t xml:space="preserve"> the ocean environment an integral component of the Columbia River ecosystem. </w:t>
      </w:r>
      <w:r w:rsidR="00FA074B" w:rsidRPr="00E60CCD">
        <w:rPr>
          <w:rFonts w:ascii="TimesNewRomanPSMT" w:hAnsi="TimesNewRomanPSMT" w:cs="TimesNewRomanPSMT"/>
        </w:rPr>
        <w:t xml:space="preserve">The primary strategy called for in the Fish and Wildlife Program is to identify the effects of ocean conditions on anadromous fish survival and use this information to evaluate and adjust inland actions.  </w:t>
      </w:r>
      <w:r w:rsidR="005A5BD6" w:rsidRPr="00E60CCD">
        <w:rPr>
          <w:rFonts w:ascii="TimesNewRomanPSMT" w:hAnsi="TimesNewRomanPSMT" w:cs="TimesNewRomanPSMT"/>
        </w:rPr>
        <w:t>The Council adopted the following strategies for the freshwater plume, the near-shore ocean, and the high seas:</w:t>
      </w:r>
    </w:p>
    <w:p w:rsidR="005A5BD6" w:rsidRPr="00E60CCD" w:rsidRDefault="005A5BD6" w:rsidP="005A5BD6">
      <w:pPr>
        <w:autoSpaceDE w:val="0"/>
        <w:autoSpaceDN w:val="0"/>
        <w:adjustRightInd w:val="0"/>
        <w:rPr>
          <w:rFonts w:ascii="TimesNewRomanPSMT" w:hAnsi="TimesNewRomanPSMT" w:cs="TimesNewRomanPSMT"/>
        </w:rPr>
      </w:pPr>
    </w:p>
    <w:p w:rsidR="005A5BD6" w:rsidRPr="00E60CCD" w:rsidRDefault="005A5BD6" w:rsidP="005A5BD6">
      <w:pPr>
        <w:autoSpaceDE w:val="0"/>
        <w:autoSpaceDN w:val="0"/>
        <w:adjustRightInd w:val="0"/>
        <w:rPr>
          <w:bCs/>
        </w:rPr>
      </w:pPr>
      <w:r w:rsidRPr="00E60CCD">
        <w:rPr>
          <w:bCs/>
        </w:rPr>
        <w:t>1. Manage for Variability</w:t>
      </w:r>
    </w:p>
    <w:p w:rsidR="005A5BD6" w:rsidRPr="00E60CCD" w:rsidRDefault="005A5BD6" w:rsidP="005A5BD6">
      <w:pPr>
        <w:autoSpaceDE w:val="0"/>
        <w:autoSpaceDN w:val="0"/>
        <w:adjustRightInd w:val="0"/>
        <w:rPr>
          <w:rFonts w:ascii="TimesNewRomanPSMT" w:hAnsi="TimesNewRomanPSMT" w:cs="TimesNewRomanPSMT"/>
        </w:rPr>
      </w:pPr>
      <w:r w:rsidRPr="00E60CCD">
        <w:rPr>
          <w:rFonts w:ascii="TimesNewRomanPSMT" w:hAnsi="TimesNewRomanPSMT" w:cs="TimesNewRomanPSMT"/>
        </w:rPr>
        <w:t xml:space="preserve">Management actions should strive to help </w:t>
      </w:r>
      <w:r w:rsidR="007853CB" w:rsidRPr="00E60CCD">
        <w:rPr>
          <w:rFonts w:ascii="TimesNewRomanPSMT" w:hAnsi="TimesNewRomanPSMT" w:cs="TimesNewRomanPSMT"/>
        </w:rPr>
        <w:t xml:space="preserve">anadromous fish and other </w:t>
      </w:r>
      <w:r w:rsidRPr="00E60CCD">
        <w:rPr>
          <w:rFonts w:ascii="TimesNewRomanPSMT" w:hAnsi="TimesNewRomanPSMT" w:cs="TimesNewRomanPSMT"/>
        </w:rPr>
        <w:t xml:space="preserve">species accommodate a variety of ocean conditions by providing a wide range of life history strategies. </w:t>
      </w:r>
      <w:r w:rsidR="007853CB" w:rsidRPr="00E60CCD">
        <w:rPr>
          <w:rFonts w:ascii="TimesNewRomanPSMT" w:hAnsi="TimesNewRomanPSMT" w:cs="TimesNewRomanPSMT"/>
        </w:rPr>
        <w:t>C</w:t>
      </w:r>
      <w:r w:rsidRPr="00E60CCD">
        <w:rPr>
          <w:rFonts w:ascii="TimesNewRomanPSMT" w:hAnsi="TimesNewRomanPSMT" w:cs="TimesNewRomanPSMT"/>
        </w:rPr>
        <w:t>ontinue monitoring and evaluation of the Columbia River plume and ocean conditions for im</w:t>
      </w:r>
      <w:r w:rsidR="00AC06AF" w:rsidRPr="00E60CCD">
        <w:rPr>
          <w:rFonts w:ascii="TimesNewRomanPSMT" w:hAnsi="TimesNewRomanPSMT" w:cs="TimesNewRomanPSMT"/>
        </w:rPr>
        <w:t xml:space="preserve">pacts on salmonid survival. </w:t>
      </w:r>
      <w:r w:rsidR="00842FCC" w:rsidRPr="00E60CCD">
        <w:rPr>
          <w:rFonts w:ascii="TimesNewRomanPSMT" w:hAnsi="TimesNewRomanPSMT" w:cs="TimesNewRomanPSMT"/>
        </w:rPr>
        <w:t>M</w:t>
      </w:r>
      <w:r w:rsidRPr="00E60CCD">
        <w:rPr>
          <w:rFonts w:ascii="TimesNewRomanPSMT" w:hAnsi="TimesNewRomanPSMT" w:cs="TimesNewRomanPSMT"/>
        </w:rPr>
        <w:t>onitor salmon returns and climate-change impacts on ocean conditions in order to identify factors affecting survival in the ocean and plume.</w:t>
      </w:r>
    </w:p>
    <w:p w:rsidR="00752181" w:rsidRPr="00E60CCD" w:rsidRDefault="00752181" w:rsidP="005A5BD6">
      <w:pPr>
        <w:autoSpaceDE w:val="0"/>
        <w:autoSpaceDN w:val="0"/>
        <w:adjustRightInd w:val="0"/>
        <w:rPr>
          <w:rFonts w:ascii="TimesNewRomanPSMT" w:hAnsi="TimesNewRomanPSMT" w:cs="TimesNewRomanPSMT"/>
        </w:rPr>
      </w:pPr>
    </w:p>
    <w:p w:rsidR="005A5BD6" w:rsidRPr="00E60CCD" w:rsidRDefault="005A5BD6" w:rsidP="005A5BD6">
      <w:pPr>
        <w:autoSpaceDE w:val="0"/>
        <w:autoSpaceDN w:val="0"/>
        <w:adjustRightInd w:val="0"/>
        <w:rPr>
          <w:bCs/>
        </w:rPr>
      </w:pPr>
      <w:r w:rsidRPr="00E60CCD">
        <w:rPr>
          <w:bCs/>
        </w:rPr>
        <w:t>2. Distinguish Ocean Effects from Other Effects</w:t>
      </w:r>
    </w:p>
    <w:p w:rsidR="005A5BD6" w:rsidRPr="00E60CCD" w:rsidRDefault="005A5BD6" w:rsidP="005A5BD6">
      <w:pPr>
        <w:autoSpaceDE w:val="0"/>
        <w:autoSpaceDN w:val="0"/>
        <w:adjustRightInd w:val="0"/>
        <w:rPr>
          <w:color w:val="000000"/>
        </w:rPr>
      </w:pPr>
      <w:r w:rsidRPr="00E60CCD">
        <w:rPr>
          <w:rFonts w:ascii="TimesNewRomanPSMT" w:hAnsi="TimesNewRomanPSMT" w:cs="TimesNewRomanPSMT"/>
        </w:rPr>
        <w:t>Monitoring and evaluation actions should recognize and take into account the effect of varying ocean conditions and, to the extent feasible, separate the effects of ocean related mortality from that caused in the freshwater part of the life cycle.</w:t>
      </w:r>
    </w:p>
    <w:p w:rsidR="009304E7" w:rsidRDefault="009304E7" w:rsidP="000E71A1">
      <w:pPr>
        <w:autoSpaceDE w:val="0"/>
        <w:autoSpaceDN w:val="0"/>
        <w:adjustRightInd w:val="0"/>
        <w:rPr>
          <w:b/>
          <w:color w:val="000000"/>
        </w:rPr>
      </w:pPr>
      <w:r w:rsidRPr="00E60CCD">
        <w:rPr>
          <w:b/>
          <w:color w:val="000000"/>
        </w:rPr>
        <w:t xml:space="preserve"> </w:t>
      </w:r>
    </w:p>
    <w:p w:rsidR="00FE2B16" w:rsidRDefault="00FE2B16" w:rsidP="00614960">
      <w:pPr>
        <w:autoSpaceDE w:val="0"/>
        <w:autoSpaceDN w:val="0"/>
        <w:adjustRightInd w:val="0"/>
        <w:rPr>
          <w:b/>
          <w:u w:val="single"/>
        </w:rPr>
      </w:pPr>
    </w:p>
    <w:p w:rsidR="00411AD3" w:rsidRDefault="00411AD3" w:rsidP="00614960">
      <w:pPr>
        <w:autoSpaceDE w:val="0"/>
        <w:autoSpaceDN w:val="0"/>
        <w:adjustRightInd w:val="0"/>
        <w:rPr>
          <w:b/>
          <w:u w:val="single"/>
        </w:rPr>
      </w:pPr>
    </w:p>
    <w:p w:rsidR="00411AD3" w:rsidRDefault="00411AD3" w:rsidP="00614960">
      <w:pPr>
        <w:autoSpaceDE w:val="0"/>
        <w:autoSpaceDN w:val="0"/>
        <w:adjustRightInd w:val="0"/>
        <w:rPr>
          <w:b/>
          <w:u w:val="single"/>
        </w:rPr>
      </w:pPr>
    </w:p>
    <w:p w:rsidR="00614960" w:rsidRPr="00E60CCD" w:rsidRDefault="00614960" w:rsidP="00614960">
      <w:pPr>
        <w:autoSpaceDE w:val="0"/>
        <w:autoSpaceDN w:val="0"/>
        <w:adjustRightInd w:val="0"/>
      </w:pPr>
      <w:r w:rsidRPr="00E60CCD">
        <w:rPr>
          <w:b/>
          <w:u w:val="single"/>
        </w:rPr>
        <w:lastRenderedPageBreak/>
        <w:t>ISRP Comments:</w:t>
      </w:r>
      <w:r w:rsidRPr="00E60CCD">
        <w:t xml:space="preserve">  </w:t>
      </w:r>
    </w:p>
    <w:p w:rsidR="00614960" w:rsidRPr="00E60CCD" w:rsidRDefault="00614960" w:rsidP="00614960">
      <w:pPr>
        <w:autoSpaceDE w:val="0"/>
        <w:autoSpaceDN w:val="0"/>
        <w:adjustRightInd w:val="0"/>
      </w:pPr>
      <w:r w:rsidRPr="00E60CCD">
        <w:t xml:space="preserve">There is a lack of strong evidence of collaboration of some of the ocean and estuary projects attempting to estimate mortality of juvenile salmon in the estuary (NOAA, COAST, LCREP and Avian Predation). </w:t>
      </w:r>
    </w:p>
    <w:p w:rsidR="00614960" w:rsidRPr="00E60CCD" w:rsidRDefault="00614960" w:rsidP="00614960">
      <w:pPr>
        <w:autoSpaceDE w:val="0"/>
        <w:autoSpaceDN w:val="0"/>
        <w:adjustRightInd w:val="0"/>
      </w:pPr>
    </w:p>
    <w:p w:rsidR="00614960" w:rsidRPr="00E60CCD" w:rsidRDefault="00614960" w:rsidP="00614960">
      <w:pPr>
        <w:autoSpaceDE w:val="0"/>
        <w:autoSpaceDN w:val="0"/>
        <w:adjustRightInd w:val="0"/>
        <w:rPr>
          <w:b/>
          <w:color w:val="000000"/>
          <w:u w:val="single"/>
        </w:rPr>
      </w:pPr>
      <w:r w:rsidRPr="00E60CCD">
        <w:rPr>
          <w:b/>
          <w:color w:val="000000"/>
          <w:u w:val="single"/>
        </w:rPr>
        <w:t>ISRP suggestions:</w:t>
      </w:r>
    </w:p>
    <w:p w:rsidR="00614960" w:rsidRPr="00E60CCD" w:rsidRDefault="00614960" w:rsidP="00614960">
      <w:pPr>
        <w:autoSpaceDE w:val="0"/>
        <w:autoSpaceDN w:val="0"/>
        <w:adjustRightInd w:val="0"/>
        <w:rPr>
          <w:color w:val="000000"/>
        </w:rPr>
      </w:pPr>
      <w:r w:rsidRPr="00E60CCD">
        <w:rPr>
          <w:color w:val="000000"/>
        </w:rPr>
        <w:t>ISRP programmatic suggestions (related to Ocean but may overlap into the estuary):</w:t>
      </w:r>
    </w:p>
    <w:p w:rsidR="00614960" w:rsidRPr="00E60CCD" w:rsidRDefault="00614960" w:rsidP="00614960">
      <w:pPr>
        <w:pStyle w:val="ListParagraph"/>
        <w:numPr>
          <w:ilvl w:val="0"/>
          <w:numId w:val="4"/>
        </w:numPr>
        <w:autoSpaceDE w:val="0"/>
        <w:autoSpaceDN w:val="0"/>
        <w:adjustRightInd w:val="0"/>
        <w:rPr>
          <w:color w:val="000000"/>
        </w:rPr>
      </w:pPr>
      <w:r w:rsidRPr="00E60CCD">
        <w:rPr>
          <w:color w:val="000000"/>
        </w:rPr>
        <w:t xml:space="preserve">BPA-sponsored basinwide forum on the effects of climate and ocean conditions on Columbia River Basin fish and wildlife potentially led by NOAA Fisheries.  </w:t>
      </w:r>
    </w:p>
    <w:p w:rsidR="00614960" w:rsidRPr="00E60CCD" w:rsidRDefault="00614960" w:rsidP="00614960">
      <w:pPr>
        <w:autoSpaceDE w:val="0"/>
        <w:autoSpaceDN w:val="0"/>
        <w:adjustRightInd w:val="0"/>
        <w:ind w:firstLine="720"/>
        <w:rPr>
          <w:color w:val="000000"/>
        </w:rPr>
      </w:pPr>
      <w:r w:rsidRPr="00E60CCD">
        <w:rPr>
          <w:color w:val="000000"/>
        </w:rPr>
        <w:t xml:space="preserve">Specific possible topics could include Life Histories and </w:t>
      </w:r>
      <w:r w:rsidRPr="00E60CCD">
        <w:rPr>
          <w:bCs/>
          <w:color w:val="000000"/>
        </w:rPr>
        <w:t>Density dependence.</w:t>
      </w:r>
    </w:p>
    <w:p w:rsidR="00614960" w:rsidRPr="00E60CCD" w:rsidRDefault="00614960" w:rsidP="00614960">
      <w:pPr>
        <w:pStyle w:val="ListParagraph"/>
        <w:numPr>
          <w:ilvl w:val="0"/>
          <w:numId w:val="4"/>
        </w:numPr>
        <w:rPr>
          <w:i/>
          <w:color w:val="000000"/>
        </w:rPr>
      </w:pPr>
      <w:r w:rsidRPr="00E60CCD">
        <w:rPr>
          <w:color w:val="000000"/>
        </w:rPr>
        <w:t>Development and improvement of simulation and predictive models to modify harvest or hatchery releases. </w:t>
      </w:r>
    </w:p>
    <w:p w:rsidR="00614960" w:rsidRPr="00E60CCD" w:rsidRDefault="00614960" w:rsidP="00614960">
      <w:pPr>
        <w:pStyle w:val="ListParagraph"/>
        <w:numPr>
          <w:ilvl w:val="0"/>
          <w:numId w:val="4"/>
        </w:numPr>
      </w:pPr>
      <w:r w:rsidRPr="00E60CCD">
        <w:rPr>
          <w:color w:val="000000"/>
        </w:rPr>
        <w:t xml:space="preserve">Better understand </w:t>
      </w:r>
      <w:r w:rsidRPr="00E60CCD">
        <w:rPr>
          <w:i/>
          <w:color w:val="000000"/>
        </w:rPr>
        <w:t>how</w:t>
      </w:r>
      <w:r w:rsidRPr="00E60CCD">
        <w:rPr>
          <w:color w:val="000000"/>
        </w:rPr>
        <w:t xml:space="preserve"> ocean conditions affect growth, survival, and ocean distribution of anadromous fish. </w:t>
      </w:r>
    </w:p>
    <w:p w:rsidR="00614960" w:rsidRDefault="00614960" w:rsidP="000E71A1">
      <w:pPr>
        <w:autoSpaceDE w:val="0"/>
        <w:autoSpaceDN w:val="0"/>
        <w:adjustRightInd w:val="0"/>
        <w:rPr>
          <w:b/>
          <w:color w:val="000000"/>
        </w:rPr>
      </w:pPr>
    </w:p>
    <w:p w:rsidR="00411AD3" w:rsidRPr="00E26503" w:rsidRDefault="00411AD3" w:rsidP="000E71A1">
      <w:pPr>
        <w:autoSpaceDE w:val="0"/>
        <w:autoSpaceDN w:val="0"/>
        <w:adjustRightInd w:val="0"/>
        <w:rPr>
          <w:b/>
          <w:color w:val="000000"/>
          <w:u w:val="single"/>
        </w:rPr>
      </w:pPr>
      <w:r w:rsidRPr="00E26503">
        <w:rPr>
          <w:b/>
          <w:color w:val="000000"/>
          <w:u w:val="single"/>
        </w:rPr>
        <w:t>Relationship to Council Questions:</w:t>
      </w:r>
    </w:p>
    <w:p w:rsidR="00411AD3" w:rsidRDefault="00552445" w:rsidP="000E71A1">
      <w:pPr>
        <w:autoSpaceDE w:val="0"/>
        <w:autoSpaceDN w:val="0"/>
        <w:adjustRightInd w:val="0"/>
        <w:rPr>
          <w:b/>
          <w:color w:val="000000"/>
        </w:rPr>
      </w:pPr>
      <w:r w:rsidRPr="00E26503">
        <w:rPr>
          <w:color w:val="000000"/>
        </w:rPr>
        <w:t>The ocean research projects are found to address the broadly stated critical uncertainties that pertain to the ocean in the research plan.  The data derived from these projects needs to be synthesized and focused on addressing the priorities described for the 2</w:t>
      </w:r>
      <w:r w:rsidR="00352665" w:rsidRPr="00E26503">
        <w:rPr>
          <w:color w:val="000000"/>
        </w:rPr>
        <w:t xml:space="preserve">009 Program and the FCRPS Biological Opinion.  </w:t>
      </w:r>
      <w:r w:rsidR="00F0263E" w:rsidRPr="00E26503">
        <w:rPr>
          <w:color w:val="000000"/>
        </w:rPr>
        <w:t xml:space="preserve">These research projects are related </w:t>
      </w:r>
      <w:r w:rsidR="00FD30B1">
        <w:rPr>
          <w:color w:val="000000"/>
        </w:rPr>
        <w:t xml:space="preserve">to </w:t>
      </w:r>
      <w:r w:rsidR="00F0263E" w:rsidRPr="00E26503">
        <w:rPr>
          <w:color w:val="000000"/>
        </w:rPr>
        <w:t>at least one high level indicator “Are ocean conditions affecting Columbia River Basin anadromous fish</w:t>
      </w:r>
      <w:r w:rsidR="009E4362" w:rsidRPr="00E26503">
        <w:rPr>
          <w:color w:val="000000"/>
        </w:rPr>
        <w:t>.</w:t>
      </w:r>
      <w:r w:rsidR="00F0263E" w:rsidRPr="00E26503">
        <w:rPr>
          <w:color w:val="000000"/>
        </w:rPr>
        <w:t xml:space="preserve">” </w:t>
      </w:r>
      <w:r w:rsidR="00352665" w:rsidRPr="00E26503">
        <w:rPr>
          <w:color w:val="000000"/>
        </w:rPr>
        <w:t>The ISRP indicated that this body of research needs to consider more effective approaches for communicating project results and forecasting ocean survival.  The ISRP also noted a need for integration of data and analyses.</w:t>
      </w:r>
    </w:p>
    <w:p w:rsidR="00411AD3" w:rsidRDefault="00411AD3" w:rsidP="000E71A1">
      <w:pPr>
        <w:autoSpaceDE w:val="0"/>
        <w:autoSpaceDN w:val="0"/>
        <w:adjustRightInd w:val="0"/>
        <w:rPr>
          <w:b/>
          <w:color w:val="000000"/>
        </w:rPr>
      </w:pPr>
    </w:p>
    <w:p w:rsidR="0098253A" w:rsidRPr="00E60CCD" w:rsidRDefault="009304E7" w:rsidP="000E71A1">
      <w:pPr>
        <w:autoSpaceDE w:val="0"/>
        <w:autoSpaceDN w:val="0"/>
        <w:adjustRightInd w:val="0"/>
        <w:rPr>
          <w:b/>
          <w:color w:val="000000"/>
          <w:u w:val="single"/>
        </w:rPr>
      </w:pPr>
      <w:r w:rsidRPr="00E60CCD">
        <w:rPr>
          <w:b/>
          <w:color w:val="000000"/>
          <w:u w:val="single"/>
        </w:rPr>
        <w:t>Possible Options</w:t>
      </w:r>
    </w:p>
    <w:p w:rsidR="009A4546" w:rsidRPr="00E60CCD" w:rsidRDefault="009A4546" w:rsidP="009A4546">
      <w:pPr>
        <w:pStyle w:val="Default"/>
        <w:rPr>
          <w:rFonts w:ascii="Times New Roman" w:hAnsi="Times New Roman" w:cs="Times New Roman"/>
        </w:rPr>
      </w:pPr>
      <w:r w:rsidRPr="00E60CCD">
        <w:rPr>
          <w:rFonts w:ascii="Times New Roman" w:hAnsi="Times New Roman" w:cs="Times New Roman"/>
        </w:rPr>
        <w:t xml:space="preserve">Options to consider include noting that projects 1998-014-00, 2003-009-00, 2003-114-00 should collaborate to complete a comprehensive strategic plan that prioritizes project and management objectives for the Program. Also, address the ISRP comment that ocean and estuary projects attempting to estimate mortality of juvenile salmon in the estuary could exhibit stronger collaboration. </w:t>
      </w:r>
    </w:p>
    <w:p w:rsidR="00C72118" w:rsidRPr="00C72118" w:rsidRDefault="00C72118" w:rsidP="00C72118">
      <w:pPr>
        <w:pStyle w:val="ListParagraph"/>
        <w:numPr>
          <w:ilvl w:val="0"/>
          <w:numId w:val="5"/>
        </w:numPr>
        <w:autoSpaceDE w:val="0"/>
        <w:autoSpaceDN w:val="0"/>
        <w:adjustRightInd w:val="0"/>
        <w:rPr>
          <w:color w:val="000000"/>
        </w:rPr>
      </w:pPr>
      <w:r w:rsidRPr="00C72118">
        <w:rPr>
          <w:color w:val="000000"/>
        </w:rPr>
        <w:t>Clarify how the synthesis report will be completed</w:t>
      </w:r>
      <w:r>
        <w:rPr>
          <w:color w:val="000000"/>
        </w:rPr>
        <w:t xml:space="preserve"> (responsibilities)</w:t>
      </w:r>
      <w:r w:rsidRPr="00C72118">
        <w:rPr>
          <w:color w:val="000000"/>
        </w:rPr>
        <w:t>.</w:t>
      </w:r>
    </w:p>
    <w:p w:rsidR="00C72118" w:rsidRPr="00C72118" w:rsidRDefault="00C72118" w:rsidP="00C72118">
      <w:pPr>
        <w:pStyle w:val="ListParagraph"/>
        <w:numPr>
          <w:ilvl w:val="0"/>
          <w:numId w:val="5"/>
        </w:numPr>
        <w:autoSpaceDE w:val="0"/>
        <w:autoSpaceDN w:val="0"/>
        <w:adjustRightInd w:val="0"/>
        <w:rPr>
          <w:color w:val="000000"/>
        </w:rPr>
      </w:pPr>
      <w:r w:rsidRPr="00C72118">
        <w:rPr>
          <w:color w:val="000000"/>
        </w:rPr>
        <w:t>Identify program priorities, other management questions to be addressed.</w:t>
      </w:r>
    </w:p>
    <w:p w:rsidR="00C72118" w:rsidRDefault="00C72118" w:rsidP="009A4546">
      <w:pPr>
        <w:pStyle w:val="Default"/>
        <w:rPr>
          <w:rFonts w:ascii="Times New Roman" w:hAnsi="Times New Roman" w:cs="Times New Roman"/>
        </w:rPr>
      </w:pPr>
    </w:p>
    <w:p w:rsidR="00E43769" w:rsidRPr="00E60CCD" w:rsidRDefault="00E43769" w:rsidP="00E43769">
      <w:pPr>
        <w:autoSpaceDE w:val="0"/>
        <w:autoSpaceDN w:val="0"/>
        <w:adjustRightInd w:val="0"/>
        <w:rPr>
          <w:color w:val="000000"/>
        </w:rPr>
      </w:pPr>
      <w:r w:rsidRPr="00E60CCD">
        <w:t xml:space="preserve">Consider </w:t>
      </w:r>
      <w:r w:rsidRPr="00E60CCD">
        <w:rPr>
          <w:color w:val="000000"/>
        </w:rPr>
        <w:t xml:space="preserve">basinwide forum on the effects of climate and ocean conditions on Columbia River Basin fish and wildlife potentially led by NOAA Fisheries.  </w:t>
      </w:r>
    </w:p>
    <w:p w:rsidR="00AC06AF" w:rsidRPr="00E60CCD" w:rsidRDefault="00AC06AF" w:rsidP="000E71A1">
      <w:pPr>
        <w:autoSpaceDE w:val="0"/>
        <w:autoSpaceDN w:val="0"/>
        <w:adjustRightInd w:val="0"/>
        <w:rPr>
          <w:b/>
          <w:color w:val="000000"/>
        </w:rPr>
      </w:pPr>
    </w:p>
    <w:p w:rsidR="000E3EE6" w:rsidRPr="00E60CCD" w:rsidRDefault="000E3EE6" w:rsidP="000E3EE6">
      <w:pPr>
        <w:rPr>
          <w:b/>
          <w:u w:val="single"/>
        </w:rPr>
      </w:pPr>
      <w:r w:rsidRPr="00E60CCD">
        <w:rPr>
          <w:b/>
          <w:u w:val="single"/>
        </w:rPr>
        <w:t xml:space="preserve">Preliminary </w:t>
      </w:r>
      <w:r w:rsidR="004B5B30" w:rsidRPr="00E60CCD">
        <w:rPr>
          <w:b/>
          <w:u w:val="single"/>
        </w:rPr>
        <w:t xml:space="preserve">Staff </w:t>
      </w:r>
      <w:r w:rsidRPr="00E60CCD">
        <w:rPr>
          <w:b/>
          <w:u w:val="single"/>
        </w:rPr>
        <w:t>Recommendation:</w:t>
      </w:r>
    </w:p>
    <w:p w:rsidR="000B4540" w:rsidRDefault="008502B5" w:rsidP="000B4540">
      <w:r w:rsidRPr="00E60CCD">
        <w:t>We r</w:t>
      </w:r>
      <w:r w:rsidR="000B4540" w:rsidRPr="00E60CCD">
        <w:t xml:space="preserve">ecommend that project sponsors jointly complete a comprehensive synthesis </w:t>
      </w:r>
      <w:r w:rsidR="008F4F7E" w:rsidRPr="00E60CCD">
        <w:t xml:space="preserve">report </w:t>
      </w:r>
      <w:r w:rsidR="000B4540" w:rsidRPr="00E60CCD">
        <w:t xml:space="preserve">per the ISRP comments.  Recommend funding for </w:t>
      </w:r>
      <w:r w:rsidR="00F0263E">
        <w:t xml:space="preserve">through 2012 to complete the coordinated </w:t>
      </w:r>
      <w:r w:rsidR="000B4540" w:rsidRPr="00E60CCD">
        <w:t xml:space="preserve">synthesis report.  </w:t>
      </w:r>
      <w:r w:rsidR="00F0263E">
        <w:t xml:space="preserve">Funding beyond 2012 will be based on ISRP and Council review of the report and recommendations for future work. </w:t>
      </w:r>
      <w:r w:rsidR="000B4540" w:rsidRPr="00E60CCD">
        <w:t xml:space="preserve"> </w:t>
      </w:r>
      <w:r w:rsidR="000B4540" w:rsidRPr="00E60CCD">
        <w:rPr>
          <w:bCs/>
        </w:rPr>
        <w:t>An important element to this synthesis report will be the inclusion of potential salmon management implications and recommendations based on the information collected and evaluated</w:t>
      </w:r>
      <w:r w:rsidR="000B4540" w:rsidRPr="00E60CCD">
        <w:t xml:space="preserve">.  </w:t>
      </w:r>
      <w:r w:rsidRPr="00E60CCD">
        <w:t xml:space="preserve">The sponsors should address where appropriate, the qualifications </w:t>
      </w:r>
      <w:proofErr w:type="gramStart"/>
      <w:r w:rsidRPr="00E60CCD">
        <w:t>raised</w:t>
      </w:r>
      <w:proofErr w:type="gramEnd"/>
      <w:r w:rsidRPr="00E60CCD">
        <w:t xml:space="preserve"> by the ISRP in their final review (ISRP 2010-44B). </w:t>
      </w:r>
      <w:r w:rsidR="000B4540" w:rsidRPr="00E60CCD">
        <w:t xml:space="preserve">Also </w:t>
      </w:r>
      <w:r w:rsidRPr="00E60CCD">
        <w:t xml:space="preserve">we </w:t>
      </w:r>
      <w:r w:rsidR="000B4540" w:rsidRPr="00E60CCD">
        <w:t>recommend that the proponents ensure data collected is standardized and accessible.</w:t>
      </w:r>
    </w:p>
    <w:p w:rsidR="00F0263E" w:rsidRDefault="00F0263E" w:rsidP="000E3EE6">
      <w:pPr>
        <w:rPr>
          <w:b/>
          <w:u w:val="single"/>
        </w:rPr>
      </w:pPr>
    </w:p>
    <w:p w:rsidR="00775BD0" w:rsidRDefault="00775BD0" w:rsidP="00614960">
      <w:pPr>
        <w:autoSpaceDE w:val="0"/>
        <w:autoSpaceDN w:val="0"/>
        <w:adjustRightInd w:val="0"/>
        <w:rPr>
          <w:b/>
          <w:color w:val="000000"/>
        </w:rPr>
      </w:pPr>
    </w:p>
    <w:p w:rsidR="00614960" w:rsidRPr="005A5BD6" w:rsidRDefault="00614960" w:rsidP="00614960">
      <w:pPr>
        <w:autoSpaceDE w:val="0"/>
        <w:autoSpaceDN w:val="0"/>
        <w:adjustRightInd w:val="0"/>
        <w:rPr>
          <w:b/>
          <w:color w:val="000000"/>
        </w:rPr>
      </w:pPr>
      <w:r>
        <w:rPr>
          <w:b/>
          <w:color w:val="000000"/>
        </w:rPr>
        <w:lastRenderedPageBreak/>
        <w:t xml:space="preserve">Proposals addressing the ocean, plume and </w:t>
      </w:r>
      <w:proofErr w:type="spellStart"/>
      <w:r>
        <w:rPr>
          <w:b/>
          <w:color w:val="000000"/>
        </w:rPr>
        <w:t>nearshore</w:t>
      </w:r>
      <w:proofErr w:type="spellEnd"/>
      <w:r>
        <w:rPr>
          <w:b/>
          <w:color w:val="000000"/>
        </w:rPr>
        <w:t xml:space="preserve"> environments:</w:t>
      </w:r>
    </w:p>
    <w:tbl>
      <w:tblPr>
        <w:tblW w:w="108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0"/>
        <w:gridCol w:w="1710"/>
        <w:gridCol w:w="1440"/>
        <w:gridCol w:w="1530"/>
        <w:gridCol w:w="1530"/>
        <w:gridCol w:w="1530"/>
        <w:gridCol w:w="2070"/>
      </w:tblGrid>
      <w:tr w:rsidR="004B46DA" w:rsidRPr="00E60CCD" w:rsidTr="00A4750E">
        <w:trPr>
          <w:trHeight w:val="701"/>
        </w:trPr>
        <w:tc>
          <w:tcPr>
            <w:tcW w:w="99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Project #</w:t>
            </w:r>
          </w:p>
        </w:tc>
        <w:tc>
          <w:tcPr>
            <w:tcW w:w="171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Project Title</w:t>
            </w:r>
          </w:p>
        </w:tc>
        <w:tc>
          <w:tcPr>
            <w:tcW w:w="144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Sponsors</w:t>
            </w:r>
          </w:p>
        </w:tc>
        <w:tc>
          <w:tcPr>
            <w:tcW w:w="153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Purpose/</w:t>
            </w:r>
          </w:p>
          <w:p w:rsidR="004B46DA" w:rsidRPr="00E60CCD" w:rsidRDefault="004B46DA" w:rsidP="001E7CD2">
            <w:pPr>
              <w:jc w:val="center"/>
              <w:rPr>
                <w:b/>
                <w:sz w:val="22"/>
                <w:szCs w:val="22"/>
              </w:rPr>
            </w:pPr>
            <w:r w:rsidRPr="00E60CCD">
              <w:rPr>
                <w:b/>
                <w:sz w:val="22"/>
                <w:szCs w:val="22"/>
              </w:rPr>
              <w:t>Emphasis</w:t>
            </w:r>
          </w:p>
        </w:tc>
        <w:tc>
          <w:tcPr>
            <w:tcW w:w="153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BiOp/Accord</w:t>
            </w:r>
          </w:p>
        </w:tc>
        <w:tc>
          <w:tcPr>
            <w:tcW w:w="153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FY 2010 Funding</w:t>
            </w:r>
          </w:p>
        </w:tc>
        <w:tc>
          <w:tcPr>
            <w:tcW w:w="2070" w:type="dxa"/>
          </w:tcPr>
          <w:p w:rsidR="00A4750E" w:rsidRPr="00E60CCD" w:rsidRDefault="00A4750E" w:rsidP="001E7CD2">
            <w:pPr>
              <w:jc w:val="center"/>
              <w:rPr>
                <w:b/>
                <w:sz w:val="22"/>
                <w:szCs w:val="22"/>
              </w:rPr>
            </w:pPr>
          </w:p>
          <w:p w:rsidR="004B46DA" w:rsidRPr="00E60CCD" w:rsidRDefault="004B46DA" w:rsidP="001E7CD2">
            <w:pPr>
              <w:jc w:val="center"/>
              <w:rPr>
                <w:b/>
                <w:sz w:val="22"/>
                <w:szCs w:val="22"/>
              </w:rPr>
            </w:pPr>
            <w:r w:rsidRPr="00E60CCD">
              <w:rPr>
                <w:b/>
                <w:sz w:val="22"/>
                <w:szCs w:val="22"/>
              </w:rPr>
              <w:t>Funding requested (2012-2014 ave</w:t>
            </w:r>
            <w:r w:rsidR="005876B3" w:rsidRPr="00E60CCD">
              <w:rPr>
                <w:b/>
                <w:sz w:val="22"/>
                <w:szCs w:val="22"/>
              </w:rPr>
              <w:t>rage</w:t>
            </w:r>
            <w:r w:rsidRPr="00E60CCD">
              <w:rPr>
                <w:b/>
                <w:sz w:val="22"/>
                <w:szCs w:val="22"/>
              </w:rPr>
              <w:t>)</w:t>
            </w:r>
          </w:p>
        </w:tc>
      </w:tr>
      <w:tr w:rsidR="004B46DA" w:rsidRPr="00E60CCD" w:rsidTr="008F4F7E">
        <w:trPr>
          <w:trHeight w:val="638"/>
        </w:trPr>
        <w:tc>
          <w:tcPr>
            <w:tcW w:w="990" w:type="dxa"/>
          </w:tcPr>
          <w:p w:rsidR="004B46DA" w:rsidRPr="00E60CCD" w:rsidRDefault="004B46DA" w:rsidP="00DE4AF9">
            <w:pPr>
              <w:rPr>
                <w:sz w:val="22"/>
                <w:szCs w:val="22"/>
              </w:rPr>
            </w:pPr>
            <w:r w:rsidRPr="00E60CCD">
              <w:rPr>
                <w:sz w:val="22"/>
                <w:szCs w:val="22"/>
              </w:rPr>
              <w:t>1998-014-00</w:t>
            </w:r>
          </w:p>
        </w:tc>
        <w:tc>
          <w:tcPr>
            <w:tcW w:w="1710" w:type="dxa"/>
          </w:tcPr>
          <w:p w:rsidR="004B46DA" w:rsidRPr="00E60CCD" w:rsidRDefault="004B46DA" w:rsidP="00DE4AF9">
            <w:pPr>
              <w:rPr>
                <w:sz w:val="22"/>
                <w:szCs w:val="22"/>
              </w:rPr>
            </w:pPr>
            <w:r w:rsidRPr="00E60CCD">
              <w:rPr>
                <w:sz w:val="22"/>
                <w:szCs w:val="22"/>
              </w:rPr>
              <w:t>Ocean Survival of Salmonids</w:t>
            </w:r>
          </w:p>
        </w:tc>
        <w:tc>
          <w:tcPr>
            <w:tcW w:w="1440" w:type="dxa"/>
          </w:tcPr>
          <w:p w:rsidR="004B46DA" w:rsidRPr="00E60CCD" w:rsidRDefault="004B46DA" w:rsidP="00DE4AF9">
            <w:pPr>
              <w:rPr>
                <w:sz w:val="22"/>
                <w:szCs w:val="22"/>
              </w:rPr>
            </w:pPr>
            <w:r w:rsidRPr="00E60CCD">
              <w:rPr>
                <w:sz w:val="22"/>
                <w:szCs w:val="22"/>
              </w:rPr>
              <w:t>NOAA</w:t>
            </w:r>
          </w:p>
        </w:tc>
        <w:tc>
          <w:tcPr>
            <w:tcW w:w="1530" w:type="dxa"/>
          </w:tcPr>
          <w:p w:rsidR="004B46DA" w:rsidRPr="00E60CCD" w:rsidRDefault="004B46DA" w:rsidP="00DE4AF9">
            <w:pPr>
              <w:rPr>
                <w:sz w:val="22"/>
                <w:szCs w:val="22"/>
              </w:rPr>
            </w:pPr>
            <w:r w:rsidRPr="00E60CCD">
              <w:rPr>
                <w:sz w:val="22"/>
                <w:szCs w:val="22"/>
              </w:rPr>
              <w:t>Habitat, RM&amp;E</w:t>
            </w:r>
          </w:p>
        </w:tc>
        <w:tc>
          <w:tcPr>
            <w:tcW w:w="1530" w:type="dxa"/>
          </w:tcPr>
          <w:p w:rsidR="004B46DA" w:rsidRPr="00E60CCD" w:rsidRDefault="00552445" w:rsidP="00DE4AF9">
            <w:pPr>
              <w:jc w:val="right"/>
              <w:rPr>
                <w:color w:val="333333"/>
                <w:sz w:val="22"/>
                <w:szCs w:val="22"/>
              </w:rPr>
            </w:pPr>
            <w:r>
              <w:rPr>
                <w:color w:val="333333"/>
                <w:sz w:val="22"/>
                <w:szCs w:val="22"/>
              </w:rPr>
              <w:t>RPA: 61.1, 61.2, 61.4</w:t>
            </w:r>
          </w:p>
        </w:tc>
        <w:tc>
          <w:tcPr>
            <w:tcW w:w="1530" w:type="dxa"/>
          </w:tcPr>
          <w:p w:rsidR="004B46DA" w:rsidRPr="00E60CCD" w:rsidRDefault="004B46DA" w:rsidP="00DE4AF9">
            <w:pPr>
              <w:jc w:val="right"/>
              <w:rPr>
                <w:sz w:val="22"/>
                <w:szCs w:val="22"/>
              </w:rPr>
            </w:pPr>
            <w:r w:rsidRPr="00E60CCD">
              <w:rPr>
                <w:color w:val="333333"/>
                <w:sz w:val="22"/>
                <w:szCs w:val="22"/>
              </w:rPr>
              <w:t>$2,122,893</w:t>
            </w:r>
          </w:p>
        </w:tc>
        <w:tc>
          <w:tcPr>
            <w:tcW w:w="2070" w:type="dxa"/>
          </w:tcPr>
          <w:p w:rsidR="004B46DA" w:rsidRPr="00E60CCD" w:rsidRDefault="004B46DA" w:rsidP="00DE4AF9">
            <w:pPr>
              <w:jc w:val="right"/>
              <w:rPr>
                <w:sz w:val="22"/>
                <w:szCs w:val="22"/>
              </w:rPr>
            </w:pPr>
            <w:r w:rsidRPr="00E60CCD">
              <w:rPr>
                <w:sz w:val="22"/>
                <w:szCs w:val="22"/>
              </w:rPr>
              <w:t>$2,720,691</w:t>
            </w:r>
          </w:p>
        </w:tc>
      </w:tr>
      <w:tr w:rsidR="004B46DA" w:rsidRPr="00E60CCD" w:rsidTr="004B46DA">
        <w:trPr>
          <w:trHeight w:val="255"/>
        </w:trPr>
        <w:tc>
          <w:tcPr>
            <w:tcW w:w="990" w:type="dxa"/>
          </w:tcPr>
          <w:p w:rsidR="004B46DA" w:rsidRPr="00E60CCD" w:rsidRDefault="004B46DA" w:rsidP="00DE4AF9">
            <w:pPr>
              <w:rPr>
                <w:iCs/>
                <w:sz w:val="22"/>
                <w:szCs w:val="22"/>
              </w:rPr>
            </w:pPr>
            <w:r w:rsidRPr="00E60CCD">
              <w:rPr>
                <w:iCs/>
                <w:sz w:val="22"/>
                <w:szCs w:val="22"/>
              </w:rPr>
              <w:t>2003-009-00</w:t>
            </w:r>
          </w:p>
        </w:tc>
        <w:tc>
          <w:tcPr>
            <w:tcW w:w="1710" w:type="dxa"/>
          </w:tcPr>
          <w:p w:rsidR="004B46DA" w:rsidRPr="00E60CCD" w:rsidRDefault="004B46DA" w:rsidP="00DE4AF9">
            <w:pPr>
              <w:rPr>
                <w:iCs/>
                <w:sz w:val="22"/>
                <w:szCs w:val="22"/>
              </w:rPr>
            </w:pPr>
            <w:r w:rsidRPr="00E60CCD">
              <w:rPr>
                <w:iCs/>
                <w:sz w:val="22"/>
                <w:szCs w:val="22"/>
              </w:rPr>
              <w:t>Canada-USA Shelf Survival Study</w:t>
            </w:r>
          </w:p>
        </w:tc>
        <w:tc>
          <w:tcPr>
            <w:tcW w:w="1440" w:type="dxa"/>
          </w:tcPr>
          <w:p w:rsidR="004B46DA" w:rsidRPr="00E60CCD" w:rsidRDefault="004B46DA" w:rsidP="00DE4AF9">
            <w:pPr>
              <w:rPr>
                <w:iCs/>
                <w:sz w:val="22"/>
                <w:szCs w:val="22"/>
              </w:rPr>
            </w:pPr>
            <w:r w:rsidRPr="00E60CCD">
              <w:rPr>
                <w:iCs/>
                <w:sz w:val="22"/>
                <w:szCs w:val="22"/>
              </w:rPr>
              <w:t>Canada Department of Fisheries and Oceans</w:t>
            </w:r>
          </w:p>
        </w:tc>
        <w:tc>
          <w:tcPr>
            <w:tcW w:w="1530" w:type="dxa"/>
          </w:tcPr>
          <w:p w:rsidR="004B46DA" w:rsidRPr="00E60CCD" w:rsidRDefault="004B46DA" w:rsidP="00DE4AF9">
            <w:pPr>
              <w:rPr>
                <w:iCs/>
                <w:sz w:val="22"/>
                <w:szCs w:val="22"/>
              </w:rPr>
            </w:pPr>
            <w:r w:rsidRPr="00E60CCD">
              <w:rPr>
                <w:iCs/>
                <w:sz w:val="22"/>
                <w:szCs w:val="22"/>
              </w:rPr>
              <w:t>Programmatic RM&amp;E</w:t>
            </w:r>
          </w:p>
        </w:tc>
        <w:tc>
          <w:tcPr>
            <w:tcW w:w="1530" w:type="dxa"/>
          </w:tcPr>
          <w:p w:rsidR="004B46DA" w:rsidRPr="00E60CCD" w:rsidRDefault="00552445" w:rsidP="00DE4AF9">
            <w:pPr>
              <w:jc w:val="right"/>
              <w:rPr>
                <w:color w:val="333333"/>
                <w:sz w:val="22"/>
                <w:szCs w:val="22"/>
              </w:rPr>
            </w:pPr>
            <w:r>
              <w:rPr>
                <w:color w:val="333333"/>
                <w:sz w:val="22"/>
                <w:szCs w:val="22"/>
              </w:rPr>
              <w:t>RPA: 61.1</w:t>
            </w:r>
          </w:p>
        </w:tc>
        <w:tc>
          <w:tcPr>
            <w:tcW w:w="1530" w:type="dxa"/>
          </w:tcPr>
          <w:p w:rsidR="004B46DA" w:rsidRPr="00E60CCD" w:rsidRDefault="004B46DA" w:rsidP="00DE4AF9">
            <w:pPr>
              <w:jc w:val="right"/>
              <w:rPr>
                <w:iCs/>
                <w:sz w:val="22"/>
                <w:szCs w:val="22"/>
              </w:rPr>
            </w:pPr>
            <w:r w:rsidRPr="00E60CCD">
              <w:rPr>
                <w:color w:val="333333"/>
                <w:sz w:val="22"/>
                <w:szCs w:val="22"/>
              </w:rPr>
              <w:t>$455,971</w:t>
            </w:r>
          </w:p>
        </w:tc>
        <w:tc>
          <w:tcPr>
            <w:tcW w:w="2070" w:type="dxa"/>
          </w:tcPr>
          <w:p w:rsidR="004B46DA" w:rsidRPr="00E60CCD" w:rsidRDefault="004B46DA" w:rsidP="00DE4AF9">
            <w:pPr>
              <w:jc w:val="right"/>
              <w:rPr>
                <w:iCs/>
                <w:sz w:val="22"/>
                <w:szCs w:val="22"/>
              </w:rPr>
            </w:pPr>
            <w:r w:rsidRPr="00E60CCD">
              <w:rPr>
                <w:iCs/>
                <w:sz w:val="22"/>
                <w:szCs w:val="22"/>
              </w:rPr>
              <w:t>$511,800</w:t>
            </w:r>
          </w:p>
        </w:tc>
      </w:tr>
      <w:tr w:rsidR="004B46DA" w:rsidRPr="00E60CCD" w:rsidTr="004B46DA">
        <w:trPr>
          <w:trHeight w:val="255"/>
        </w:trPr>
        <w:tc>
          <w:tcPr>
            <w:tcW w:w="990" w:type="dxa"/>
            <w:tcBorders>
              <w:bottom w:val="single" w:sz="4" w:space="0" w:color="auto"/>
            </w:tcBorders>
          </w:tcPr>
          <w:p w:rsidR="004B46DA" w:rsidRPr="00E60CCD" w:rsidRDefault="004B46DA" w:rsidP="00DE4AF9">
            <w:pPr>
              <w:rPr>
                <w:iCs/>
                <w:sz w:val="22"/>
                <w:szCs w:val="22"/>
              </w:rPr>
            </w:pPr>
            <w:r w:rsidRPr="00E60CCD">
              <w:rPr>
                <w:iCs/>
                <w:sz w:val="22"/>
                <w:szCs w:val="22"/>
              </w:rPr>
              <w:t>2003-114-00</w:t>
            </w:r>
          </w:p>
        </w:tc>
        <w:tc>
          <w:tcPr>
            <w:tcW w:w="1710" w:type="dxa"/>
            <w:tcBorders>
              <w:bottom w:val="single" w:sz="4" w:space="0" w:color="auto"/>
            </w:tcBorders>
          </w:tcPr>
          <w:p w:rsidR="004B46DA" w:rsidRPr="00E60CCD" w:rsidRDefault="004B46DA" w:rsidP="00DE4AF9">
            <w:pPr>
              <w:rPr>
                <w:iCs/>
                <w:color w:val="000000" w:themeColor="text1"/>
                <w:sz w:val="22"/>
                <w:szCs w:val="22"/>
              </w:rPr>
            </w:pPr>
            <w:r w:rsidRPr="00E60CCD">
              <w:rPr>
                <w:bCs/>
                <w:color w:val="000000" w:themeColor="text1"/>
                <w:kern w:val="36"/>
                <w:sz w:val="22"/>
                <w:szCs w:val="22"/>
              </w:rPr>
              <w:t>Coastal Ocean Acoustic Salmon Tracking (COAST)</w:t>
            </w:r>
          </w:p>
        </w:tc>
        <w:tc>
          <w:tcPr>
            <w:tcW w:w="1440" w:type="dxa"/>
            <w:tcBorders>
              <w:bottom w:val="single" w:sz="4" w:space="0" w:color="auto"/>
            </w:tcBorders>
          </w:tcPr>
          <w:p w:rsidR="004B46DA" w:rsidRPr="00E60CCD" w:rsidRDefault="004B46DA" w:rsidP="00DE4AF9">
            <w:pPr>
              <w:rPr>
                <w:iCs/>
                <w:sz w:val="22"/>
                <w:szCs w:val="22"/>
              </w:rPr>
            </w:pPr>
            <w:proofErr w:type="spellStart"/>
            <w:r w:rsidRPr="00E60CCD">
              <w:rPr>
                <w:iCs/>
                <w:sz w:val="22"/>
                <w:szCs w:val="22"/>
              </w:rPr>
              <w:t>Kintama</w:t>
            </w:r>
            <w:proofErr w:type="spellEnd"/>
            <w:r w:rsidRPr="00E60CCD">
              <w:rPr>
                <w:iCs/>
                <w:sz w:val="22"/>
                <w:szCs w:val="22"/>
              </w:rPr>
              <w:t xml:space="preserve"> Research</w:t>
            </w:r>
          </w:p>
        </w:tc>
        <w:tc>
          <w:tcPr>
            <w:tcW w:w="1530" w:type="dxa"/>
          </w:tcPr>
          <w:p w:rsidR="004B46DA" w:rsidRPr="00E60CCD" w:rsidRDefault="004B46DA" w:rsidP="00DE4AF9">
            <w:pPr>
              <w:rPr>
                <w:iCs/>
                <w:sz w:val="22"/>
                <w:szCs w:val="22"/>
              </w:rPr>
            </w:pPr>
            <w:r w:rsidRPr="00E60CCD">
              <w:rPr>
                <w:iCs/>
                <w:sz w:val="22"/>
                <w:szCs w:val="22"/>
              </w:rPr>
              <w:t>Programmatic RM&amp;E</w:t>
            </w:r>
          </w:p>
        </w:tc>
        <w:tc>
          <w:tcPr>
            <w:tcW w:w="1530" w:type="dxa"/>
          </w:tcPr>
          <w:p w:rsidR="004B46DA" w:rsidRPr="00E60CCD" w:rsidRDefault="00552445" w:rsidP="00DE4AF9">
            <w:pPr>
              <w:jc w:val="right"/>
              <w:rPr>
                <w:color w:val="333333"/>
                <w:sz w:val="22"/>
                <w:szCs w:val="22"/>
              </w:rPr>
            </w:pPr>
            <w:r>
              <w:rPr>
                <w:color w:val="333333"/>
                <w:sz w:val="22"/>
                <w:szCs w:val="22"/>
              </w:rPr>
              <w:t>RPA: 55.1, 55.2, 55.8, 61.2</w:t>
            </w:r>
          </w:p>
        </w:tc>
        <w:tc>
          <w:tcPr>
            <w:tcW w:w="1530" w:type="dxa"/>
          </w:tcPr>
          <w:p w:rsidR="004B46DA" w:rsidRPr="00E60CCD" w:rsidRDefault="004B46DA" w:rsidP="00DE4AF9">
            <w:pPr>
              <w:jc w:val="right"/>
              <w:rPr>
                <w:iCs/>
                <w:sz w:val="22"/>
                <w:szCs w:val="22"/>
              </w:rPr>
            </w:pPr>
            <w:r w:rsidRPr="00E60CCD">
              <w:rPr>
                <w:color w:val="333333"/>
                <w:sz w:val="22"/>
                <w:szCs w:val="22"/>
              </w:rPr>
              <w:t>$2,143,816</w:t>
            </w:r>
          </w:p>
        </w:tc>
        <w:tc>
          <w:tcPr>
            <w:tcW w:w="2070" w:type="dxa"/>
          </w:tcPr>
          <w:p w:rsidR="004B46DA" w:rsidRPr="00E60CCD" w:rsidRDefault="004B46DA" w:rsidP="00DE4AF9">
            <w:pPr>
              <w:jc w:val="right"/>
              <w:rPr>
                <w:iCs/>
                <w:sz w:val="22"/>
                <w:szCs w:val="22"/>
              </w:rPr>
            </w:pPr>
            <w:r w:rsidRPr="00E60CCD">
              <w:rPr>
                <w:iCs/>
                <w:sz w:val="22"/>
                <w:szCs w:val="22"/>
              </w:rPr>
              <w:t>$2,100,000</w:t>
            </w:r>
          </w:p>
          <w:p w:rsidR="004B46DA" w:rsidRPr="00E60CCD" w:rsidRDefault="004B46DA" w:rsidP="00DE4AF9">
            <w:pPr>
              <w:jc w:val="right"/>
              <w:rPr>
                <w:iCs/>
                <w:sz w:val="22"/>
                <w:szCs w:val="22"/>
              </w:rPr>
            </w:pPr>
          </w:p>
        </w:tc>
      </w:tr>
      <w:tr w:rsidR="004B46DA" w:rsidRPr="00E60CCD" w:rsidTr="004B46DA">
        <w:trPr>
          <w:trHeight w:val="255"/>
        </w:trPr>
        <w:tc>
          <w:tcPr>
            <w:tcW w:w="990" w:type="dxa"/>
            <w:tcBorders>
              <w:right w:val="nil"/>
            </w:tcBorders>
          </w:tcPr>
          <w:p w:rsidR="004B46DA" w:rsidRPr="00E60CCD" w:rsidRDefault="004B46DA" w:rsidP="00DE4AF9">
            <w:pPr>
              <w:rPr>
                <w:iCs/>
                <w:sz w:val="22"/>
                <w:szCs w:val="22"/>
              </w:rPr>
            </w:pPr>
          </w:p>
        </w:tc>
        <w:tc>
          <w:tcPr>
            <w:tcW w:w="1710" w:type="dxa"/>
            <w:tcBorders>
              <w:left w:val="nil"/>
              <w:right w:val="nil"/>
            </w:tcBorders>
          </w:tcPr>
          <w:p w:rsidR="004B46DA" w:rsidRPr="00E60CCD" w:rsidRDefault="004B46DA" w:rsidP="00DE4AF9">
            <w:pPr>
              <w:rPr>
                <w:bCs/>
                <w:color w:val="000000" w:themeColor="text1"/>
                <w:kern w:val="36"/>
                <w:sz w:val="22"/>
                <w:szCs w:val="22"/>
              </w:rPr>
            </w:pPr>
          </w:p>
        </w:tc>
        <w:tc>
          <w:tcPr>
            <w:tcW w:w="1440" w:type="dxa"/>
            <w:tcBorders>
              <w:left w:val="nil"/>
            </w:tcBorders>
          </w:tcPr>
          <w:p w:rsidR="004B46DA" w:rsidRPr="00E60CCD" w:rsidRDefault="004B46DA" w:rsidP="00DE4AF9">
            <w:pPr>
              <w:rPr>
                <w:iCs/>
                <w:sz w:val="22"/>
                <w:szCs w:val="22"/>
              </w:rPr>
            </w:pPr>
          </w:p>
        </w:tc>
        <w:tc>
          <w:tcPr>
            <w:tcW w:w="1530" w:type="dxa"/>
          </w:tcPr>
          <w:p w:rsidR="004B46DA" w:rsidRPr="00E60CCD" w:rsidRDefault="004B46DA" w:rsidP="00DE4AF9">
            <w:pPr>
              <w:rPr>
                <w:iCs/>
                <w:sz w:val="22"/>
                <w:szCs w:val="22"/>
              </w:rPr>
            </w:pPr>
            <w:r w:rsidRPr="00E60CCD">
              <w:rPr>
                <w:iCs/>
                <w:sz w:val="22"/>
                <w:szCs w:val="22"/>
              </w:rPr>
              <w:t>Total:</w:t>
            </w:r>
          </w:p>
        </w:tc>
        <w:tc>
          <w:tcPr>
            <w:tcW w:w="1530" w:type="dxa"/>
          </w:tcPr>
          <w:p w:rsidR="004B46DA" w:rsidRPr="00E60CCD" w:rsidRDefault="004B46DA" w:rsidP="00614960">
            <w:pPr>
              <w:jc w:val="right"/>
              <w:rPr>
                <w:color w:val="000000"/>
                <w:sz w:val="22"/>
                <w:szCs w:val="22"/>
              </w:rPr>
            </w:pPr>
          </w:p>
        </w:tc>
        <w:tc>
          <w:tcPr>
            <w:tcW w:w="1530" w:type="dxa"/>
          </w:tcPr>
          <w:p w:rsidR="004B46DA" w:rsidRPr="00E60CCD" w:rsidRDefault="004B46DA" w:rsidP="00614960">
            <w:pPr>
              <w:jc w:val="right"/>
              <w:rPr>
                <w:color w:val="000000"/>
                <w:sz w:val="22"/>
                <w:szCs w:val="22"/>
              </w:rPr>
            </w:pPr>
            <w:r w:rsidRPr="00E60CCD">
              <w:rPr>
                <w:color w:val="000000"/>
                <w:sz w:val="22"/>
                <w:szCs w:val="22"/>
              </w:rPr>
              <w:t xml:space="preserve">$4,722,680 </w:t>
            </w:r>
          </w:p>
          <w:p w:rsidR="004B46DA" w:rsidRPr="00E60CCD" w:rsidRDefault="004B46DA" w:rsidP="00DE4AF9">
            <w:pPr>
              <w:jc w:val="right"/>
              <w:rPr>
                <w:color w:val="333333"/>
                <w:sz w:val="22"/>
                <w:szCs w:val="22"/>
              </w:rPr>
            </w:pPr>
          </w:p>
        </w:tc>
        <w:tc>
          <w:tcPr>
            <w:tcW w:w="2070" w:type="dxa"/>
          </w:tcPr>
          <w:p w:rsidR="004B46DA" w:rsidRPr="00E60CCD" w:rsidRDefault="004B46DA" w:rsidP="00614960">
            <w:pPr>
              <w:jc w:val="right"/>
              <w:rPr>
                <w:color w:val="000000"/>
                <w:sz w:val="22"/>
                <w:szCs w:val="22"/>
              </w:rPr>
            </w:pPr>
            <w:r w:rsidRPr="00E60CCD">
              <w:rPr>
                <w:color w:val="000000"/>
                <w:sz w:val="22"/>
                <w:szCs w:val="22"/>
              </w:rPr>
              <w:t xml:space="preserve">$5,332,491 </w:t>
            </w:r>
          </w:p>
          <w:p w:rsidR="004B46DA" w:rsidRPr="00E60CCD" w:rsidRDefault="004B46DA" w:rsidP="00DE4AF9">
            <w:pPr>
              <w:jc w:val="right"/>
              <w:rPr>
                <w:iCs/>
                <w:sz w:val="22"/>
                <w:szCs w:val="22"/>
              </w:rPr>
            </w:pPr>
          </w:p>
        </w:tc>
      </w:tr>
    </w:tbl>
    <w:p w:rsidR="00614960" w:rsidRPr="00E60CCD" w:rsidRDefault="00614960" w:rsidP="00614960">
      <w:pPr>
        <w:rPr>
          <w:sz w:val="22"/>
          <w:szCs w:val="22"/>
        </w:rPr>
      </w:pP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r w:rsidRPr="00E60CCD">
        <w:rPr>
          <w:sz w:val="22"/>
          <w:szCs w:val="22"/>
        </w:rPr>
        <w:tab/>
      </w:r>
    </w:p>
    <w:p w:rsidR="00614960" w:rsidRPr="00E60CCD" w:rsidRDefault="00614960" w:rsidP="00614960">
      <w:pPr>
        <w:rPr>
          <w:sz w:val="22"/>
          <w:szCs w:val="22"/>
        </w:rPr>
      </w:pPr>
    </w:p>
    <w:p w:rsidR="00614960" w:rsidRPr="00E60CCD" w:rsidRDefault="00614960" w:rsidP="00614960">
      <w:pPr>
        <w:rPr>
          <w:b/>
          <w:sz w:val="22"/>
          <w:szCs w:val="22"/>
        </w:rPr>
      </w:pPr>
      <w:r w:rsidRPr="00E60CCD">
        <w:rPr>
          <w:b/>
          <w:sz w:val="22"/>
          <w:szCs w:val="22"/>
        </w:rPr>
        <w:t>Related projects that could be integrated in the discussion:</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0"/>
        <w:gridCol w:w="1722"/>
        <w:gridCol w:w="1435"/>
        <w:gridCol w:w="1481"/>
        <w:gridCol w:w="1482"/>
        <w:gridCol w:w="1620"/>
        <w:gridCol w:w="1980"/>
      </w:tblGrid>
      <w:tr w:rsidR="00A4750E" w:rsidRPr="00E60CCD" w:rsidTr="008F4F7E">
        <w:trPr>
          <w:trHeight w:val="255"/>
        </w:trPr>
        <w:tc>
          <w:tcPr>
            <w:tcW w:w="990"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Project #</w:t>
            </w:r>
          </w:p>
        </w:tc>
        <w:tc>
          <w:tcPr>
            <w:tcW w:w="1722"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Project Title</w:t>
            </w:r>
          </w:p>
        </w:tc>
        <w:tc>
          <w:tcPr>
            <w:tcW w:w="1435"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Sponsors</w:t>
            </w:r>
          </w:p>
        </w:tc>
        <w:tc>
          <w:tcPr>
            <w:tcW w:w="1481" w:type="dxa"/>
          </w:tcPr>
          <w:p w:rsidR="00A4750E" w:rsidRPr="00E60CCD" w:rsidRDefault="00A4750E" w:rsidP="001E7CD2">
            <w:pPr>
              <w:jc w:val="center"/>
              <w:rPr>
                <w:b/>
                <w:iCs/>
                <w:sz w:val="22"/>
                <w:szCs w:val="22"/>
              </w:rPr>
            </w:pPr>
          </w:p>
          <w:p w:rsidR="00A4750E" w:rsidRPr="00E60CCD" w:rsidRDefault="00A4750E" w:rsidP="001E7CD2">
            <w:pPr>
              <w:jc w:val="center"/>
              <w:rPr>
                <w:b/>
                <w:iCs/>
                <w:sz w:val="22"/>
                <w:szCs w:val="22"/>
              </w:rPr>
            </w:pPr>
            <w:r w:rsidRPr="00E60CCD">
              <w:rPr>
                <w:b/>
                <w:iCs/>
                <w:sz w:val="22"/>
                <w:szCs w:val="22"/>
              </w:rPr>
              <w:t>Purpose/</w:t>
            </w:r>
          </w:p>
          <w:p w:rsidR="00A4750E" w:rsidRPr="00E60CCD" w:rsidRDefault="00A4750E" w:rsidP="001E7CD2">
            <w:pPr>
              <w:jc w:val="center"/>
              <w:rPr>
                <w:b/>
                <w:iCs/>
                <w:sz w:val="22"/>
                <w:szCs w:val="22"/>
              </w:rPr>
            </w:pPr>
            <w:r w:rsidRPr="00E60CCD">
              <w:rPr>
                <w:b/>
                <w:iCs/>
                <w:sz w:val="22"/>
                <w:szCs w:val="22"/>
              </w:rPr>
              <w:t>Emphasis</w:t>
            </w:r>
          </w:p>
        </w:tc>
        <w:tc>
          <w:tcPr>
            <w:tcW w:w="1482" w:type="dxa"/>
          </w:tcPr>
          <w:p w:rsidR="00A4750E" w:rsidRPr="00E60CCD" w:rsidRDefault="00A4750E" w:rsidP="001E7CD2">
            <w:pPr>
              <w:jc w:val="center"/>
              <w:rPr>
                <w:b/>
                <w:color w:val="333333"/>
                <w:sz w:val="22"/>
                <w:szCs w:val="22"/>
              </w:rPr>
            </w:pPr>
          </w:p>
          <w:p w:rsidR="00A4750E" w:rsidRPr="00E60CCD" w:rsidRDefault="00A4750E" w:rsidP="001E7CD2">
            <w:pPr>
              <w:jc w:val="center"/>
              <w:rPr>
                <w:b/>
                <w:color w:val="333333"/>
                <w:sz w:val="22"/>
                <w:szCs w:val="22"/>
              </w:rPr>
            </w:pPr>
            <w:r w:rsidRPr="00E60CCD">
              <w:rPr>
                <w:b/>
                <w:color w:val="333333"/>
                <w:sz w:val="22"/>
                <w:szCs w:val="22"/>
              </w:rPr>
              <w:t>BiOp/Accord</w:t>
            </w:r>
          </w:p>
        </w:tc>
        <w:tc>
          <w:tcPr>
            <w:tcW w:w="1620" w:type="dxa"/>
          </w:tcPr>
          <w:p w:rsidR="00A4750E" w:rsidRPr="00E60CCD" w:rsidRDefault="00A4750E" w:rsidP="001E7CD2">
            <w:pPr>
              <w:jc w:val="center"/>
              <w:rPr>
                <w:b/>
                <w:color w:val="333333"/>
                <w:sz w:val="22"/>
                <w:szCs w:val="22"/>
              </w:rPr>
            </w:pPr>
          </w:p>
          <w:p w:rsidR="00A4750E" w:rsidRPr="00E60CCD" w:rsidRDefault="00A4750E" w:rsidP="001E7CD2">
            <w:pPr>
              <w:jc w:val="center"/>
              <w:rPr>
                <w:b/>
                <w:color w:val="333333"/>
                <w:sz w:val="22"/>
                <w:szCs w:val="22"/>
              </w:rPr>
            </w:pPr>
            <w:r w:rsidRPr="00E60CCD">
              <w:rPr>
                <w:b/>
                <w:color w:val="333333"/>
                <w:sz w:val="22"/>
                <w:szCs w:val="22"/>
              </w:rPr>
              <w:t>FY 2010 Funding</w:t>
            </w:r>
          </w:p>
        </w:tc>
        <w:tc>
          <w:tcPr>
            <w:tcW w:w="1980" w:type="dxa"/>
          </w:tcPr>
          <w:p w:rsidR="00A4750E" w:rsidRPr="00E60CCD" w:rsidRDefault="00A4750E" w:rsidP="001E7CD2">
            <w:pPr>
              <w:jc w:val="center"/>
              <w:rPr>
                <w:b/>
                <w:iCs/>
                <w:sz w:val="22"/>
                <w:szCs w:val="22"/>
              </w:rPr>
            </w:pPr>
            <w:r w:rsidRPr="00E60CCD">
              <w:rPr>
                <w:b/>
                <w:iCs/>
                <w:sz w:val="22"/>
                <w:szCs w:val="22"/>
              </w:rPr>
              <w:t>Funding</w:t>
            </w:r>
          </w:p>
          <w:p w:rsidR="00A4750E" w:rsidRPr="00E60CCD" w:rsidRDefault="00A4750E" w:rsidP="001E7CD2">
            <w:pPr>
              <w:jc w:val="center"/>
              <w:rPr>
                <w:b/>
                <w:iCs/>
                <w:sz w:val="22"/>
                <w:szCs w:val="22"/>
              </w:rPr>
            </w:pPr>
            <w:r w:rsidRPr="00E60CCD">
              <w:rPr>
                <w:b/>
                <w:iCs/>
                <w:sz w:val="22"/>
                <w:szCs w:val="22"/>
              </w:rPr>
              <w:t>requested (2012-2014</w:t>
            </w:r>
            <w:r w:rsidR="005876B3" w:rsidRPr="00E60CCD">
              <w:rPr>
                <w:b/>
                <w:iCs/>
                <w:sz w:val="22"/>
                <w:szCs w:val="22"/>
              </w:rPr>
              <w:t xml:space="preserve"> average</w:t>
            </w:r>
            <w:r w:rsidRPr="00E60CCD">
              <w:rPr>
                <w:b/>
                <w:iCs/>
                <w:sz w:val="22"/>
                <w:szCs w:val="22"/>
              </w:rPr>
              <w:t>)</w:t>
            </w:r>
          </w:p>
        </w:tc>
      </w:tr>
      <w:tr w:rsidR="00A4750E" w:rsidRPr="00E60CCD" w:rsidTr="008F4F7E">
        <w:trPr>
          <w:trHeight w:val="255"/>
        </w:trPr>
        <w:tc>
          <w:tcPr>
            <w:tcW w:w="990" w:type="dxa"/>
          </w:tcPr>
          <w:p w:rsidR="00A4750E" w:rsidRPr="00E60CCD" w:rsidRDefault="00A4750E" w:rsidP="00DE4AF9">
            <w:pPr>
              <w:rPr>
                <w:iCs/>
                <w:sz w:val="22"/>
                <w:szCs w:val="22"/>
              </w:rPr>
            </w:pPr>
            <w:r w:rsidRPr="00E60CCD">
              <w:rPr>
                <w:iCs/>
                <w:sz w:val="22"/>
                <w:szCs w:val="22"/>
              </w:rPr>
              <w:t>2003-007-00</w:t>
            </w:r>
          </w:p>
        </w:tc>
        <w:tc>
          <w:tcPr>
            <w:tcW w:w="1722" w:type="dxa"/>
          </w:tcPr>
          <w:p w:rsidR="00A4750E" w:rsidRPr="00E60CCD" w:rsidRDefault="00A4750E" w:rsidP="00DE4AF9">
            <w:pPr>
              <w:rPr>
                <w:iCs/>
                <w:sz w:val="22"/>
                <w:szCs w:val="22"/>
              </w:rPr>
            </w:pPr>
            <w:r w:rsidRPr="00E60CCD">
              <w:rPr>
                <w:iCs/>
                <w:sz w:val="22"/>
                <w:szCs w:val="22"/>
              </w:rPr>
              <w:t>Lower Columbia River Estuary Ecosystem Monitoring</w:t>
            </w:r>
          </w:p>
        </w:tc>
        <w:tc>
          <w:tcPr>
            <w:tcW w:w="1435" w:type="dxa"/>
          </w:tcPr>
          <w:p w:rsidR="008F4F7E" w:rsidRPr="00E60CCD" w:rsidRDefault="00A4750E" w:rsidP="00DE4AF9">
            <w:pPr>
              <w:rPr>
                <w:iCs/>
                <w:sz w:val="22"/>
                <w:szCs w:val="22"/>
              </w:rPr>
            </w:pPr>
            <w:r w:rsidRPr="00E60CCD">
              <w:rPr>
                <w:iCs/>
                <w:sz w:val="22"/>
                <w:szCs w:val="22"/>
              </w:rPr>
              <w:t>Lower Columbia River Estuary Partnership (LCREP)</w:t>
            </w:r>
          </w:p>
        </w:tc>
        <w:tc>
          <w:tcPr>
            <w:tcW w:w="1481" w:type="dxa"/>
          </w:tcPr>
          <w:p w:rsidR="00A4750E" w:rsidRPr="00E60CCD" w:rsidRDefault="00A4750E" w:rsidP="00DE4AF9">
            <w:pPr>
              <w:rPr>
                <w:iCs/>
                <w:sz w:val="22"/>
                <w:szCs w:val="22"/>
              </w:rPr>
            </w:pPr>
            <w:r w:rsidRPr="00E60CCD">
              <w:rPr>
                <w:iCs/>
                <w:sz w:val="22"/>
                <w:szCs w:val="22"/>
              </w:rPr>
              <w:t>Habitat RM&amp;E</w:t>
            </w:r>
          </w:p>
        </w:tc>
        <w:tc>
          <w:tcPr>
            <w:tcW w:w="1482" w:type="dxa"/>
          </w:tcPr>
          <w:p w:rsidR="00A4750E" w:rsidRPr="00E60CCD" w:rsidRDefault="001356A8" w:rsidP="00DE4AF9">
            <w:pPr>
              <w:jc w:val="right"/>
              <w:rPr>
                <w:color w:val="333333"/>
                <w:sz w:val="22"/>
                <w:szCs w:val="22"/>
              </w:rPr>
            </w:pPr>
            <w:r>
              <w:rPr>
                <w:color w:val="333333"/>
                <w:sz w:val="22"/>
                <w:szCs w:val="22"/>
              </w:rPr>
              <w:t>RPA: 58.1, 58.3, 58.4, 59.1, 59.2, 59.4, 59.5, 60.1, 61.1, 61.3</w:t>
            </w:r>
          </w:p>
        </w:tc>
        <w:tc>
          <w:tcPr>
            <w:tcW w:w="1620" w:type="dxa"/>
          </w:tcPr>
          <w:p w:rsidR="00A4750E" w:rsidRPr="00E60CCD" w:rsidRDefault="00A4750E" w:rsidP="00DE4AF9">
            <w:pPr>
              <w:jc w:val="right"/>
              <w:rPr>
                <w:iCs/>
                <w:sz w:val="22"/>
                <w:szCs w:val="22"/>
              </w:rPr>
            </w:pPr>
            <w:r w:rsidRPr="00E60CCD">
              <w:rPr>
                <w:color w:val="333333"/>
                <w:sz w:val="22"/>
                <w:szCs w:val="22"/>
              </w:rPr>
              <w:t>$1,024,359</w:t>
            </w:r>
          </w:p>
        </w:tc>
        <w:tc>
          <w:tcPr>
            <w:tcW w:w="1980" w:type="dxa"/>
          </w:tcPr>
          <w:p w:rsidR="00A4750E" w:rsidRPr="00E60CCD" w:rsidRDefault="00A4750E" w:rsidP="00DE4AF9">
            <w:pPr>
              <w:jc w:val="right"/>
              <w:rPr>
                <w:iCs/>
                <w:sz w:val="22"/>
                <w:szCs w:val="22"/>
              </w:rPr>
            </w:pPr>
            <w:r w:rsidRPr="00E60CCD">
              <w:rPr>
                <w:iCs/>
                <w:sz w:val="22"/>
                <w:szCs w:val="22"/>
              </w:rPr>
              <w:t>$1,777,277</w:t>
            </w:r>
          </w:p>
        </w:tc>
      </w:tr>
      <w:tr w:rsidR="00A4750E" w:rsidRPr="00E60CCD" w:rsidTr="008F4F7E">
        <w:trPr>
          <w:trHeight w:val="255"/>
        </w:trPr>
        <w:tc>
          <w:tcPr>
            <w:tcW w:w="990"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iCs/>
                <w:sz w:val="22"/>
                <w:szCs w:val="22"/>
              </w:rPr>
              <w:t>1997-024-00</w:t>
            </w:r>
          </w:p>
        </w:tc>
        <w:tc>
          <w:tcPr>
            <w:tcW w:w="1722"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bCs/>
                <w:kern w:val="36"/>
                <w:sz w:val="22"/>
                <w:szCs w:val="22"/>
              </w:rPr>
              <w:t>Avian Predation on Juvenile Salmonids</w:t>
            </w:r>
          </w:p>
        </w:tc>
        <w:tc>
          <w:tcPr>
            <w:tcW w:w="1435"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iCs/>
                <w:sz w:val="22"/>
                <w:szCs w:val="22"/>
              </w:rPr>
              <w:t>Oregon State University, Real Time Research</w:t>
            </w:r>
          </w:p>
        </w:tc>
        <w:tc>
          <w:tcPr>
            <w:tcW w:w="1481"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rPr>
                <w:iCs/>
                <w:sz w:val="22"/>
                <w:szCs w:val="22"/>
              </w:rPr>
            </w:pPr>
            <w:r w:rsidRPr="00E60CCD">
              <w:rPr>
                <w:iCs/>
                <w:sz w:val="22"/>
                <w:szCs w:val="22"/>
              </w:rPr>
              <w:t>Predation, RM&amp;E</w:t>
            </w:r>
          </w:p>
        </w:tc>
        <w:tc>
          <w:tcPr>
            <w:tcW w:w="1482" w:type="dxa"/>
            <w:tcBorders>
              <w:top w:val="single" w:sz="4" w:space="0" w:color="auto"/>
              <w:left w:val="single" w:sz="4" w:space="0" w:color="auto"/>
              <w:bottom w:val="single" w:sz="4" w:space="0" w:color="auto"/>
              <w:right w:val="single" w:sz="4" w:space="0" w:color="auto"/>
            </w:tcBorders>
          </w:tcPr>
          <w:p w:rsidR="00A4750E" w:rsidRPr="00E60CCD" w:rsidRDefault="001356A8" w:rsidP="00DE4AF9">
            <w:pPr>
              <w:jc w:val="right"/>
              <w:rPr>
                <w:color w:val="333333"/>
                <w:sz w:val="22"/>
                <w:szCs w:val="22"/>
              </w:rPr>
            </w:pPr>
            <w:r>
              <w:rPr>
                <w:color w:val="333333"/>
                <w:sz w:val="22"/>
                <w:szCs w:val="22"/>
              </w:rPr>
              <w:t>66, 67, 68</w:t>
            </w:r>
          </w:p>
        </w:tc>
        <w:tc>
          <w:tcPr>
            <w:tcW w:w="1620"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jc w:val="right"/>
              <w:rPr>
                <w:iCs/>
                <w:sz w:val="22"/>
                <w:szCs w:val="22"/>
              </w:rPr>
            </w:pPr>
            <w:r w:rsidRPr="00E60CCD">
              <w:rPr>
                <w:color w:val="333333"/>
                <w:sz w:val="22"/>
                <w:szCs w:val="22"/>
              </w:rPr>
              <w:t>$530,566</w:t>
            </w:r>
          </w:p>
        </w:tc>
        <w:tc>
          <w:tcPr>
            <w:tcW w:w="1980" w:type="dxa"/>
            <w:tcBorders>
              <w:top w:val="single" w:sz="4" w:space="0" w:color="auto"/>
              <w:left w:val="single" w:sz="4" w:space="0" w:color="auto"/>
              <w:bottom w:val="single" w:sz="4" w:space="0" w:color="auto"/>
              <w:right w:val="single" w:sz="4" w:space="0" w:color="auto"/>
            </w:tcBorders>
          </w:tcPr>
          <w:p w:rsidR="00A4750E" w:rsidRPr="00E60CCD" w:rsidRDefault="00A4750E" w:rsidP="00DE4AF9">
            <w:pPr>
              <w:jc w:val="right"/>
              <w:rPr>
                <w:iCs/>
                <w:sz w:val="22"/>
                <w:szCs w:val="22"/>
              </w:rPr>
            </w:pPr>
            <w:r w:rsidRPr="00E60CCD">
              <w:rPr>
                <w:iCs/>
                <w:sz w:val="22"/>
                <w:szCs w:val="22"/>
              </w:rPr>
              <w:t>$773,583</w:t>
            </w:r>
          </w:p>
        </w:tc>
      </w:tr>
      <w:tr w:rsidR="008F4F7E" w:rsidRPr="00E60CCD" w:rsidTr="008F4F7E">
        <w:trPr>
          <w:trHeight w:val="476"/>
        </w:trPr>
        <w:tc>
          <w:tcPr>
            <w:tcW w:w="990"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iCs/>
                <w:sz w:val="22"/>
                <w:szCs w:val="22"/>
              </w:rPr>
            </w:pPr>
          </w:p>
        </w:tc>
        <w:tc>
          <w:tcPr>
            <w:tcW w:w="1722"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bCs/>
                <w:kern w:val="36"/>
                <w:sz w:val="22"/>
                <w:szCs w:val="22"/>
              </w:rPr>
            </w:pPr>
          </w:p>
        </w:tc>
        <w:tc>
          <w:tcPr>
            <w:tcW w:w="1435"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iCs/>
                <w:sz w:val="22"/>
                <w:szCs w:val="22"/>
              </w:rPr>
            </w:pPr>
          </w:p>
        </w:tc>
        <w:tc>
          <w:tcPr>
            <w:tcW w:w="1481"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rPr>
                <w:iCs/>
                <w:sz w:val="22"/>
                <w:szCs w:val="22"/>
              </w:rPr>
            </w:pPr>
            <w:r w:rsidRPr="00E60CCD">
              <w:rPr>
                <w:iCs/>
                <w:sz w:val="22"/>
                <w:szCs w:val="22"/>
              </w:rPr>
              <w:t>Total:</w:t>
            </w:r>
          </w:p>
        </w:tc>
        <w:tc>
          <w:tcPr>
            <w:tcW w:w="1482"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jc w:val="right"/>
              <w:rPr>
                <w:color w:val="333333"/>
                <w:sz w:val="22"/>
                <w:szCs w:val="22"/>
              </w:rPr>
            </w:pPr>
          </w:p>
        </w:tc>
        <w:tc>
          <w:tcPr>
            <w:tcW w:w="1620"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jc w:val="right"/>
              <w:rPr>
                <w:color w:val="333333"/>
                <w:sz w:val="22"/>
                <w:szCs w:val="22"/>
              </w:rPr>
            </w:pPr>
            <w:r w:rsidRPr="00E60CCD">
              <w:rPr>
                <w:color w:val="333333"/>
                <w:sz w:val="22"/>
                <w:szCs w:val="22"/>
              </w:rPr>
              <w:t>$1,554,925</w:t>
            </w:r>
          </w:p>
        </w:tc>
        <w:tc>
          <w:tcPr>
            <w:tcW w:w="1980" w:type="dxa"/>
            <w:tcBorders>
              <w:top w:val="single" w:sz="4" w:space="0" w:color="auto"/>
              <w:left w:val="single" w:sz="4" w:space="0" w:color="auto"/>
              <w:bottom w:val="single" w:sz="4" w:space="0" w:color="auto"/>
              <w:right w:val="single" w:sz="4" w:space="0" w:color="auto"/>
            </w:tcBorders>
          </w:tcPr>
          <w:p w:rsidR="008F4F7E" w:rsidRPr="00E60CCD" w:rsidRDefault="008F4F7E" w:rsidP="00DE4AF9">
            <w:pPr>
              <w:jc w:val="right"/>
              <w:rPr>
                <w:iCs/>
                <w:sz w:val="22"/>
                <w:szCs w:val="22"/>
              </w:rPr>
            </w:pPr>
            <w:r w:rsidRPr="00E60CCD">
              <w:rPr>
                <w:iCs/>
                <w:sz w:val="22"/>
                <w:szCs w:val="22"/>
              </w:rPr>
              <w:t>$2,550,860</w:t>
            </w:r>
          </w:p>
        </w:tc>
      </w:tr>
    </w:tbl>
    <w:p w:rsidR="0024329E" w:rsidRDefault="0024329E" w:rsidP="00F47099">
      <w:pPr>
        <w:autoSpaceDE w:val="0"/>
        <w:autoSpaceDN w:val="0"/>
        <w:adjustRightInd w:val="0"/>
        <w:rPr>
          <w:color w:val="FF0000"/>
          <w:sz w:val="12"/>
        </w:rPr>
      </w:pPr>
    </w:p>
    <w:p w:rsidR="0024329E" w:rsidRPr="0024329E" w:rsidRDefault="0024329E" w:rsidP="00F47099">
      <w:pPr>
        <w:autoSpaceDE w:val="0"/>
        <w:autoSpaceDN w:val="0"/>
        <w:adjustRightInd w:val="0"/>
        <w:rPr>
          <w:color w:val="FF0000"/>
          <w:sz w:val="12"/>
        </w:rPr>
      </w:pPr>
      <w:bookmarkStart w:id="0" w:name="Tagg"/>
      <w:r w:rsidRPr="0024329E">
        <w:rPr>
          <w:color w:val="FF0000"/>
          <w:sz w:val="12"/>
        </w:rPr>
        <w:t>________________________________________</w:t>
      </w:r>
    </w:p>
    <w:p w:rsidR="0024329E" w:rsidRPr="0024329E" w:rsidRDefault="0024329E" w:rsidP="00F47099">
      <w:pPr>
        <w:autoSpaceDE w:val="0"/>
        <w:autoSpaceDN w:val="0"/>
        <w:adjustRightInd w:val="0"/>
        <w:rPr>
          <w:color w:val="FF0000"/>
          <w:sz w:val="12"/>
        </w:rPr>
      </w:pPr>
    </w:p>
    <w:p w:rsidR="00F47099" w:rsidRPr="0024329E" w:rsidRDefault="0024329E" w:rsidP="00F47099">
      <w:pPr>
        <w:autoSpaceDE w:val="0"/>
        <w:autoSpaceDN w:val="0"/>
        <w:adjustRightInd w:val="0"/>
        <w:rPr>
          <w:color w:val="FF0000"/>
          <w:sz w:val="12"/>
        </w:rPr>
      </w:pPr>
      <w:r w:rsidRPr="0024329E">
        <w:rPr>
          <w:color w:val="FF0000"/>
          <w:sz w:val="12"/>
        </w:rPr>
        <w:t xml:space="preserve">w:\po\ww\2011\rm&amp;e cat review draft issue papers 2011\draft </w:t>
      </w:r>
      <w:proofErr w:type="spellStart"/>
      <w:r w:rsidRPr="0024329E">
        <w:rPr>
          <w:color w:val="FF0000"/>
          <w:sz w:val="12"/>
        </w:rPr>
        <w:t>programmaticpaper</w:t>
      </w:r>
      <w:proofErr w:type="spellEnd"/>
      <w:r w:rsidRPr="0024329E">
        <w:rPr>
          <w:color w:val="FF0000"/>
          <w:sz w:val="12"/>
        </w:rPr>
        <w:t xml:space="preserve"> ocean </w:t>
      </w:r>
      <w:proofErr w:type="spellStart"/>
      <w:r w:rsidRPr="0024329E">
        <w:rPr>
          <w:color w:val="FF0000"/>
          <w:sz w:val="12"/>
        </w:rPr>
        <w:t>ver</w:t>
      </w:r>
      <w:proofErr w:type="spellEnd"/>
      <w:r w:rsidRPr="0024329E">
        <w:rPr>
          <w:color w:val="FF0000"/>
          <w:sz w:val="12"/>
        </w:rPr>
        <w:t xml:space="preserve"> 4.docx</w:t>
      </w:r>
      <w:bookmarkEnd w:id="0"/>
    </w:p>
    <w:sectPr w:rsidR="00F47099" w:rsidRPr="0024329E" w:rsidSect="009F3237">
      <w:headerReference w:type="default" r:id="rId9"/>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065" w:rsidRDefault="00612065" w:rsidP="004A46D4">
      <w:r>
        <w:separator/>
      </w:r>
    </w:p>
  </w:endnote>
  <w:endnote w:type="continuationSeparator" w:id="0">
    <w:p w:rsidR="00612065" w:rsidRDefault="00612065"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065" w:rsidRDefault="00612065" w:rsidP="004A46D4">
      <w:r>
        <w:separator/>
      </w:r>
    </w:p>
  </w:footnote>
  <w:footnote w:type="continuationSeparator" w:id="0">
    <w:p w:rsidR="00612065" w:rsidRDefault="00612065"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065" w:rsidRPr="00612065" w:rsidRDefault="00612065" w:rsidP="00612065">
    <w:pPr>
      <w:pStyle w:val="Header"/>
      <w:jc w:val="center"/>
      <w:rPr>
        <w:sz w:val="18"/>
      </w:rPr>
    </w:pPr>
    <w:r w:rsidRPr="00612065">
      <w:rPr>
        <w:sz w:val="18"/>
      </w:rPr>
      <w:t>Draft 2/22/2011 -- Pre</w:t>
    </w:r>
    <w:r>
      <w:rPr>
        <w:sz w:val="18"/>
      </w:rPr>
      <w:t>-</w:t>
    </w:r>
    <w:r w:rsidRPr="00612065">
      <w:rPr>
        <w:sz w:val="18"/>
      </w:rPr>
      <w:t>decisional and part of deliberative process -- For discussion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E3D12"/>
    <w:multiLevelType w:val="hybridMultilevel"/>
    <w:tmpl w:val="AFB4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30719"/>
    <w:rsid w:val="000A104E"/>
    <w:rsid w:val="000B4540"/>
    <w:rsid w:val="000C2BFD"/>
    <w:rsid w:val="000E3EE6"/>
    <w:rsid w:val="000E69A0"/>
    <w:rsid w:val="000E71A1"/>
    <w:rsid w:val="000F5E05"/>
    <w:rsid w:val="0010674E"/>
    <w:rsid w:val="0012217C"/>
    <w:rsid w:val="001356A8"/>
    <w:rsid w:val="00165D78"/>
    <w:rsid w:val="001973C7"/>
    <w:rsid w:val="001C3E03"/>
    <w:rsid w:val="001E7CD2"/>
    <w:rsid w:val="00205BBA"/>
    <w:rsid w:val="002352BE"/>
    <w:rsid w:val="0024329E"/>
    <w:rsid w:val="002B6238"/>
    <w:rsid w:val="002C1E65"/>
    <w:rsid w:val="002E0F7A"/>
    <w:rsid w:val="002F13A9"/>
    <w:rsid w:val="00312042"/>
    <w:rsid w:val="0031360D"/>
    <w:rsid w:val="00352665"/>
    <w:rsid w:val="00371C3C"/>
    <w:rsid w:val="00372E43"/>
    <w:rsid w:val="00377E6E"/>
    <w:rsid w:val="00390760"/>
    <w:rsid w:val="00411AD3"/>
    <w:rsid w:val="00414BC2"/>
    <w:rsid w:val="0042110B"/>
    <w:rsid w:val="00425D96"/>
    <w:rsid w:val="004310D6"/>
    <w:rsid w:val="00440B78"/>
    <w:rsid w:val="004A46D4"/>
    <w:rsid w:val="004B46DA"/>
    <w:rsid w:val="004B5B30"/>
    <w:rsid w:val="004C638B"/>
    <w:rsid w:val="004D73AC"/>
    <w:rsid w:val="00517A9F"/>
    <w:rsid w:val="00520029"/>
    <w:rsid w:val="0052306B"/>
    <w:rsid w:val="0052496A"/>
    <w:rsid w:val="00526511"/>
    <w:rsid w:val="005446F4"/>
    <w:rsid w:val="00552445"/>
    <w:rsid w:val="00553F7D"/>
    <w:rsid w:val="0055572A"/>
    <w:rsid w:val="00563D2B"/>
    <w:rsid w:val="005876B3"/>
    <w:rsid w:val="005A0DEE"/>
    <w:rsid w:val="005A5BD6"/>
    <w:rsid w:val="005B3674"/>
    <w:rsid w:val="005B5D72"/>
    <w:rsid w:val="005C3775"/>
    <w:rsid w:val="005C3EE5"/>
    <w:rsid w:val="00612065"/>
    <w:rsid w:val="00614960"/>
    <w:rsid w:val="0065410A"/>
    <w:rsid w:val="0067730A"/>
    <w:rsid w:val="006819DC"/>
    <w:rsid w:val="00681EFD"/>
    <w:rsid w:val="006A58E4"/>
    <w:rsid w:val="006B08E7"/>
    <w:rsid w:val="006C4552"/>
    <w:rsid w:val="006E4ACC"/>
    <w:rsid w:val="00703F92"/>
    <w:rsid w:val="007266BF"/>
    <w:rsid w:val="00752181"/>
    <w:rsid w:val="00772FCA"/>
    <w:rsid w:val="00775BD0"/>
    <w:rsid w:val="007853CB"/>
    <w:rsid w:val="007B4A7E"/>
    <w:rsid w:val="0082531F"/>
    <w:rsid w:val="00832A8F"/>
    <w:rsid w:val="00842517"/>
    <w:rsid w:val="00842FCC"/>
    <w:rsid w:val="008475D7"/>
    <w:rsid w:val="008502B5"/>
    <w:rsid w:val="008879B1"/>
    <w:rsid w:val="008A6339"/>
    <w:rsid w:val="008E0A5D"/>
    <w:rsid w:val="008F4F7E"/>
    <w:rsid w:val="0091560F"/>
    <w:rsid w:val="009233B0"/>
    <w:rsid w:val="009304E7"/>
    <w:rsid w:val="00936DB6"/>
    <w:rsid w:val="009634F0"/>
    <w:rsid w:val="00966D3A"/>
    <w:rsid w:val="0098253A"/>
    <w:rsid w:val="009A4546"/>
    <w:rsid w:val="009E4362"/>
    <w:rsid w:val="009F3237"/>
    <w:rsid w:val="00A20F9A"/>
    <w:rsid w:val="00A34176"/>
    <w:rsid w:val="00A366AC"/>
    <w:rsid w:val="00A459BB"/>
    <w:rsid w:val="00A4750E"/>
    <w:rsid w:val="00A8575A"/>
    <w:rsid w:val="00A87183"/>
    <w:rsid w:val="00AC06AF"/>
    <w:rsid w:val="00AD1F72"/>
    <w:rsid w:val="00AF5427"/>
    <w:rsid w:val="00B2615C"/>
    <w:rsid w:val="00B37906"/>
    <w:rsid w:val="00B52A5C"/>
    <w:rsid w:val="00B65DB6"/>
    <w:rsid w:val="00B67402"/>
    <w:rsid w:val="00B72DE7"/>
    <w:rsid w:val="00B838E1"/>
    <w:rsid w:val="00B84C92"/>
    <w:rsid w:val="00B9251A"/>
    <w:rsid w:val="00BB4EE2"/>
    <w:rsid w:val="00BD10E9"/>
    <w:rsid w:val="00BF561A"/>
    <w:rsid w:val="00C34A2F"/>
    <w:rsid w:val="00C7006D"/>
    <w:rsid w:val="00C72118"/>
    <w:rsid w:val="00D17856"/>
    <w:rsid w:val="00D23D3D"/>
    <w:rsid w:val="00D47CA5"/>
    <w:rsid w:val="00D531F5"/>
    <w:rsid w:val="00D537A9"/>
    <w:rsid w:val="00D75708"/>
    <w:rsid w:val="00D97C78"/>
    <w:rsid w:val="00DA3C64"/>
    <w:rsid w:val="00DA77AA"/>
    <w:rsid w:val="00DC7320"/>
    <w:rsid w:val="00DE4AF9"/>
    <w:rsid w:val="00DF2996"/>
    <w:rsid w:val="00E26503"/>
    <w:rsid w:val="00E43769"/>
    <w:rsid w:val="00E60CCD"/>
    <w:rsid w:val="00F0263E"/>
    <w:rsid w:val="00F02CE9"/>
    <w:rsid w:val="00F47099"/>
    <w:rsid w:val="00F75620"/>
    <w:rsid w:val="00F92E17"/>
    <w:rsid w:val="00FA074B"/>
    <w:rsid w:val="00FD30B1"/>
    <w:rsid w:val="00FD4F16"/>
    <w:rsid w:val="00FE2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customStyle="1" w:styleId="Default">
    <w:name w:val="Default"/>
    <w:rsid w:val="000E3EE6"/>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rsid w:val="007853CB"/>
    <w:rPr>
      <w:sz w:val="16"/>
      <w:szCs w:val="16"/>
    </w:rPr>
  </w:style>
  <w:style w:type="paragraph" w:styleId="CommentText">
    <w:name w:val="annotation text"/>
    <w:basedOn w:val="Normal"/>
    <w:link w:val="CommentTextChar"/>
    <w:rsid w:val="007853CB"/>
    <w:rPr>
      <w:sz w:val="20"/>
      <w:szCs w:val="20"/>
    </w:rPr>
  </w:style>
  <w:style w:type="character" w:customStyle="1" w:styleId="CommentTextChar">
    <w:name w:val="Comment Text Char"/>
    <w:basedOn w:val="DefaultParagraphFont"/>
    <w:link w:val="CommentText"/>
    <w:rsid w:val="007853CB"/>
  </w:style>
  <w:style w:type="paragraph" w:styleId="CommentSubject">
    <w:name w:val="annotation subject"/>
    <w:basedOn w:val="CommentText"/>
    <w:next w:val="CommentText"/>
    <w:link w:val="CommentSubjectChar"/>
    <w:rsid w:val="007853CB"/>
    <w:rPr>
      <w:b/>
      <w:bCs/>
    </w:rPr>
  </w:style>
  <w:style w:type="character" w:customStyle="1" w:styleId="CommentSubjectChar">
    <w:name w:val="Comment Subject Char"/>
    <w:basedOn w:val="CommentTextChar"/>
    <w:link w:val="CommentSubject"/>
    <w:rsid w:val="007853CB"/>
    <w:rPr>
      <w:b/>
      <w:bCs/>
    </w:rPr>
  </w:style>
  <w:style w:type="paragraph" w:styleId="BalloonText">
    <w:name w:val="Balloon Text"/>
    <w:basedOn w:val="Normal"/>
    <w:link w:val="BalloonTextChar"/>
    <w:rsid w:val="007853CB"/>
    <w:rPr>
      <w:rFonts w:ascii="Tahoma" w:hAnsi="Tahoma" w:cs="Tahoma"/>
      <w:sz w:val="16"/>
      <w:szCs w:val="16"/>
    </w:rPr>
  </w:style>
  <w:style w:type="character" w:customStyle="1" w:styleId="BalloonTextChar">
    <w:name w:val="Balloon Text Char"/>
    <w:basedOn w:val="DefaultParagraphFont"/>
    <w:link w:val="BalloonText"/>
    <w:rsid w:val="007853CB"/>
    <w:rPr>
      <w:rFonts w:ascii="Tahoma" w:hAnsi="Tahoma" w:cs="Tahoma"/>
      <w:sz w:val="16"/>
      <w:szCs w:val="16"/>
    </w:rPr>
  </w:style>
  <w:style w:type="paragraph" w:styleId="Header">
    <w:name w:val="header"/>
    <w:basedOn w:val="Normal"/>
    <w:link w:val="HeaderChar"/>
    <w:rsid w:val="00612065"/>
    <w:pPr>
      <w:tabs>
        <w:tab w:val="center" w:pos="4680"/>
        <w:tab w:val="right" w:pos="9360"/>
      </w:tabs>
    </w:pPr>
  </w:style>
  <w:style w:type="character" w:customStyle="1" w:styleId="HeaderChar">
    <w:name w:val="Header Char"/>
    <w:basedOn w:val="DefaultParagraphFont"/>
    <w:link w:val="Header"/>
    <w:rsid w:val="00612065"/>
    <w:rPr>
      <w:sz w:val="24"/>
      <w:szCs w:val="24"/>
    </w:rPr>
  </w:style>
  <w:style w:type="paragraph" w:styleId="Footer">
    <w:name w:val="footer"/>
    <w:basedOn w:val="Normal"/>
    <w:link w:val="FooterChar"/>
    <w:rsid w:val="00612065"/>
    <w:pPr>
      <w:tabs>
        <w:tab w:val="center" w:pos="4680"/>
        <w:tab w:val="right" w:pos="9360"/>
      </w:tabs>
    </w:pPr>
  </w:style>
  <w:style w:type="character" w:customStyle="1" w:styleId="FooterChar">
    <w:name w:val="Footer Char"/>
    <w:basedOn w:val="DefaultParagraphFont"/>
    <w:link w:val="Footer"/>
    <w:rsid w:val="00612065"/>
    <w:rPr>
      <w:sz w:val="24"/>
      <w:szCs w:val="24"/>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502626979">
      <w:bodyDiv w:val="1"/>
      <w:marLeft w:val="0"/>
      <w:marRight w:val="0"/>
      <w:marTop w:val="0"/>
      <w:marBottom w:val="0"/>
      <w:divBdr>
        <w:top w:val="none" w:sz="0" w:space="0" w:color="auto"/>
        <w:left w:val="none" w:sz="0" w:space="0" w:color="auto"/>
        <w:bottom w:val="none" w:sz="0" w:space="0" w:color="auto"/>
        <w:right w:val="none" w:sz="0" w:space="0" w:color="auto"/>
      </w:divBdr>
    </w:div>
    <w:div w:id="656344191">
      <w:bodyDiv w:val="1"/>
      <w:marLeft w:val="0"/>
      <w:marRight w:val="0"/>
      <w:marTop w:val="0"/>
      <w:marBottom w:val="0"/>
      <w:divBdr>
        <w:top w:val="none" w:sz="0" w:space="0" w:color="auto"/>
        <w:left w:val="none" w:sz="0" w:space="0" w:color="auto"/>
        <w:bottom w:val="none" w:sz="0" w:space="0" w:color="auto"/>
        <w:right w:val="none" w:sz="0" w:space="0" w:color="auto"/>
      </w:divBdr>
    </w:div>
    <w:div w:id="897790636">
      <w:bodyDiv w:val="1"/>
      <w:marLeft w:val="0"/>
      <w:marRight w:val="0"/>
      <w:marTop w:val="0"/>
      <w:marBottom w:val="0"/>
      <w:divBdr>
        <w:top w:val="none" w:sz="0" w:space="0" w:color="auto"/>
        <w:left w:val="none" w:sz="0" w:space="0" w:color="auto"/>
        <w:bottom w:val="none" w:sz="0" w:space="0" w:color="auto"/>
        <w:right w:val="none" w:sz="0" w:space="0" w:color="auto"/>
      </w:divBdr>
    </w:div>
    <w:div w:id="1304430826">
      <w:bodyDiv w:val="1"/>
      <w:marLeft w:val="0"/>
      <w:marRight w:val="0"/>
      <w:marTop w:val="0"/>
      <w:marBottom w:val="0"/>
      <w:divBdr>
        <w:top w:val="none" w:sz="0" w:space="0" w:color="auto"/>
        <w:left w:val="none" w:sz="0" w:space="0" w:color="auto"/>
        <w:bottom w:val="none" w:sz="0" w:space="0" w:color="auto"/>
        <w:right w:val="none" w:sz="0" w:space="0" w:color="auto"/>
      </w:divBdr>
    </w:div>
    <w:div w:id="174452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nas1\fish\PO\Ex\2011\RM&amp;E%20Cat%20Review\ocean%20fisc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lineChart>
        <c:grouping val="standard"/>
        <c:ser>
          <c:idx val="1"/>
          <c:order val="0"/>
          <c:tx>
            <c:strRef>
              <c:f>Sheet1!$B$1</c:f>
              <c:strCache>
                <c:ptCount val="1"/>
                <c:pt idx="0">
                  <c:v>Budget </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Sheet1!$B$2:$B$12</c:f>
              <c:numCache>
                <c:formatCode>"$"#,##0</c:formatCode>
                <c:ptCount val="11"/>
                <c:pt idx="0">
                  <c:v>2308212</c:v>
                </c:pt>
                <c:pt idx="1">
                  <c:v>2277962</c:v>
                </c:pt>
                <c:pt idx="2">
                  <c:v>3570600</c:v>
                </c:pt>
                <c:pt idx="3">
                  <c:v>3645600</c:v>
                </c:pt>
                <c:pt idx="4">
                  <c:v>3454600</c:v>
                </c:pt>
                <c:pt idx="5">
                  <c:v>4495115</c:v>
                </c:pt>
                <c:pt idx="6">
                  <c:v>4607493</c:v>
                </c:pt>
                <c:pt idx="7" formatCode="&quot;$&quot;#,##0.00">
                  <c:v>4722680</c:v>
                </c:pt>
              </c:numCache>
            </c:numRef>
          </c:val>
        </c:ser>
        <c:ser>
          <c:idx val="2"/>
          <c:order val="1"/>
          <c:tx>
            <c:strRef>
              <c:f>Sheet1!$C$1</c:f>
              <c:strCache>
                <c:ptCount val="1"/>
                <c:pt idx="0">
                  <c:v>Expenditures </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Sheet1!$C$2:$C$12</c:f>
              <c:numCache>
                <c:formatCode>"$"#,##0</c:formatCode>
                <c:ptCount val="11"/>
                <c:pt idx="0">
                  <c:v>3115137</c:v>
                </c:pt>
                <c:pt idx="1">
                  <c:v>1605962</c:v>
                </c:pt>
                <c:pt idx="2">
                  <c:v>3019571</c:v>
                </c:pt>
                <c:pt idx="3">
                  <c:v>3746468</c:v>
                </c:pt>
                <c:pt idx="4">
                  <c:v>3605963</c:v>
                </c:pt>
                <c:pt idx="5">
                  <c:v>4561871</c:v>
                </c:pt>
                <c:pt idx="6">
                  <c:v>3745982</c:v>
                </c:pt>
              </c:numCache>
            </c:numRef>
          </c:val>
        </c:ser>
        <c:ser>
          <c:idx val="3"/>
          <c:order val="2"/>
          <c:tx>
            <c:strRef>
              <c:f>Sheet1!$D$1</c:f>
              <c:strCache>
                <c:ptCount val="1"/>
                <c:pt idx="0">
                  <c:v>Working Budget 2011</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Sheet1!$D$2:$D$12</c:f>
            </c:numRef>
          </c:val>
        </c:ser>
        <c:ser>
          <c:idx val="4"/>
          <c:order val="3"/>
          <c:tx>
            <c:strRef>
              <c:f>Sheet1!$E$1</c:f>
              <c:strCache>
                <c:ptCount val="1"/>
                <c:pt idx="0">
                  <c:v>Expenditures 2011</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Sheet1!$E$2:$E$12</c:f>
            </c:numRef>
          </c:val>
        </c:ser>
        <c:ser>
          <c:idx val="5"/>
          <c:order val="4"/>
          <c:tx>
            <c:strRef>
              <c:f>Sheet1!$F$1</c:f>
              <c:strCache>
                <c:ptCount val="1"/>
                <c:pt idx="0">
                  <c:v>Request </c:v>
                </c:pt>
              </c:strCache>
            </c:strRef>
          </c:tx>
          <c:cat>
            <c:numRef>
              <c:f>Sheet1!$A$2:$A$12</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Sheet1!$F$2:$F$12</c:f>
              <c:numCache>
                <c:formatCode>General</c:formatCode>
                <c:ptCount val="11"/>
                <c:pt idx="8" formatCode="&quot;$&quot;#,##0">
                  <c:v>5289686</c:v>
                </c:pt>
                <c:pt idx="9" formatCode="&quot;$&quot;#,##0">
                  <c:v>5332426</c:v>
                </c:pt>
                <c:pt idx="10" formatCode="&quot;$&quot;#,##0">
                  <c:v>5375360</c:v>
                </c:pt>
              </c:numCache>
            </c:numRef>
          </c:val>
        </c:ser>
        <c:marker val="1"/>
        <c:axId val="74110464"/>
        <c:axId val="75299456"/>
      </c:lineChart>
      <c:catAx>
        <c:axId val="74110464"/>
        <c:scaling>
          <c:orientation val="minMax"/>
        </c:scaling>
        <c:axPos val="b"/>
        <c:numFmt formatCode="General" sourceLinked="1"/>
        <c:tickLblPos val="nextTo"/>
        <c:crossAx val="75299456"/>
        <c:crosses val="autoZero"/>
        <c:auto val="1"/>
        <c:lblAlgn val="ctr"/>
        <c:lblOffset val="100"/>
      </c:catAx>
      <c:valAx>
        <c:axId val="75299456"/>
        <c:scaling>
          <c:orientation val="minMax"/>
        </c:scaling>
        <c:axPos val="l"/>
        <c:majorGridlines/>
        <c:numFmt formatCode="&quot;$&quot;#,##0" sourceLinked="1"/>
        <c:tickLblPos val="nextTo"/>
        <c:crossAx val="74110464"/>
        <c:crosses val="autoZero"/>
        <c:crossBetween val="between"/>
      </c:valAx>
    </c:plotArea>
    <c:legend>
      <c:legendPos val="r"/>
      <c:layout/>
    </c:legend>
    <c:plotVisOnly val="1"/>
  </c:chart>
  <c:spPr>
    <a:ln w="12700"/>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ED902-6E22-4AF8-93C4-084577975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834</Words>
  <Characters>5102</Characters>
  <Application>Microsoft Office Word</Application>
  <DocSecurity>0</DocSecurity>
  <Lines>231</Lines>
  <Paragraphs>105</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Palensky</dc:creator>
  <cp:keywords/>
  <dc:description/>
  <cp:lastModifiedBy>Patty O'Toole</cp:lastModifiedBy>
  <cp:revision>10</cp:revision>
  <cp:lastPrinted>2011-01-13T20:31:00Z</cp:lastPrinted>
  <dcterms:created xsi:type="dcterms:W3CDTF">2011-02-22T18:13:00Z</dcterms:created>
  <dcterms:modified xsi:type="dcterms:W3CDTF">2011-02-22T22:08:00Z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