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02" w:rsidRPr="00D17856" w:rsidRDefault="008B6D73" w:rsidP="00D17856">
      <w:pPr>
        <w:jc w:val="center"/>
        <w:rPr>
          <w:b/>
          <w:sz w:val="36"/>
          <w:szCs w:val="36"/>
        </w:rPr>
      </w:pPr>
      <w:bookmarkStart w:id="0" w:name="SavedEditLocation"/>
      <w:bookmarkEnd w:id="0"/>
      <w:r>
        <w:rPr>
          <w:b/>
          <w:sz w:val="36"/>
          <w:szCs w:val="36"/>
        </w:rPr>
        <w:t xml:space="preserve">DRAFT </w:t>
      </w:r>
      <w:r w:rsidR="00D17856" w:rsidRPr="00D17856">
        <w:rPr>
          <w:b/>
          <w:sz w:val="36"/>
          <w:szCs w:val="36"/>
        </w:rPr>
        <w:t>Programmatic Issue:</w:t>
      </w:r>
    </w:p>
    <w:p w:rsidR="00D17856" w:rsidRPr="00D17856" w:rsidRDefault="008902E0" w:rsidP="00D17856">
      <w:pPr>
        <w:jc w:val="center"/>
        <w:rPr>
          <w:b/>
          <w:sz w:val="36"/>
          <w:szCs w:val="36"/>
        </w:rPr>
      </w:pPr>
      <w:r>
        <w:rPr>
          <w:b/>
          <w:sz w:val="36"/>
          <w:szCs w:val="36"/>
        </w:rPr>
        <w:t>Coded Wire Tags</w:t>
      </w:r>
    </w:p>
    <w:p w:rsidR="00563D2B" w:rsidRDefault="00563D2B" w:rsidP="00563D2B">
      <w:pPr>
        <w:rPr>
          <w:b/>
          <w:u w:val="single"/>
        </w:rPr>
      </w:pPr>
    </w:p>
    <w:p w:rsidR="00EE2541" w:rsidRDefault="00C06E10" w:rsidP="00C06E10">
      <w:pPr>
        <w:rPr>
          <w:i/>
        </w:rPr>
      </w:pPr>
      <w:r w:rsidRPr="0067730A">
        <w:rPr>
          <w:b/>
          <w:u w:val="single"/>
        </w:rPr>
        <w:t>Issue:</w:t>
      </w:r>
      <w:r>
        <w:rPr>
          <w:b/>
        </w:rPr>
        <w:t xml:space="preserve"> </w:t>
      </w:r>
      <w:r w:rsidR="00667485">
        <w:rPr>
          <w:b/>
        </w:rPr>
        <w:t xml:space="preserve"> </w:t>
      </w:r>
      <w:r w:rsidR="00667485">
        <w:t xml:space="preserve">The </w:t>
      </w:r>
      <w:r w:rsidR="008902E0">
        <w:t>Council</w:t>
      </w:r>
      <w:r w:rsidR="000E6E5C">
        <w:t>, along with the region,</w:t>
      </w:r>
      <w:r w:rsidR="008902E0">
        <w:t xml:space="preserve"> has grappled with </w:t>
      </w:r>
      <w:r w:rsidR="000E6E5C">
        <w:t>the coded wire tag issue for well over a decade without making significant progress</w:t>
      </w:r>
      <w:r w:rsidR="006F0D6C">
        <w:t xml:space="preserve"> or change</w:t>
      </w:r>
      <w:r w:rsidR="000E6E5C">
        <w:t xml:space="preserve">. </w:t>
      </w:r>
      <w:r w:rsidR="00626575">
        <w:t>In 1997 the Council addressed Coded Wire Tags with the following language: “</w:t>
      </w:r>
      <w:r w:rsidR="00626575" w:rsidRPr="00626575">
        <w:rPr>
          <w:i/>
        </w:rPr>
        <w:t>Bonneville is projected to spend approximately $2.8 million on coded-wire tagging and recovery in Fiscal Year 1998.  Tagging throughout the basin and coastwide has primarily benefited the states’ harvest regulation activities.  This is not an area of Power Act/Council concern or authority</w:t>
      </w:r>
      <w:r w:rsidR="00626575">
        <w:rPr>
          <w:i/>
        </w:rPr>
        <w:t>…</w:t>
      </w:r>
      <w:r w:rsidR="00626575" w:rsidRPr="00626575">
        <w:rPr>
          <w:i/>
        </w:rPr>
        <w:t xml:space="preserve">  </w:t>
      </w:r>
      <w:r w:rsidR="00626575">
        <w:rPr>
          <w:i/>
        </w:rPr>
        <w:t>…</w:t>
      </w:r>
      <w:r w:rsidR="00626575" w:rsidRPr="00626575">
        <w:rPr>
          <w:i/>
        </w:rPr>
        <w:t>The issue is whether the level of Bonneville funding for coded wire tagging is out of proportion with what could be considered Bonneville’s “fair share” of the coded wire tagging program, whether that share is based on the proportional number of fish from direct program-funded hatcheries that must be tagged or on the amount of information gleaned from the tags that is relevant to the Council’s program.</w:t>
      </w:r>
      <w:r w:rsidR="00626575">
        <w:rPr>
          <w:i/>
        </w:rPr>
        <w:t>”</w:t>
      </w:r>
    </w:p>
    <w:p w:rsidR="00626575" w:rsidRDefault="00626575" w:rsidP="00C06E10"/>
    <w:p w:rsidR="00626575" w:rsidRDefault="00626575" w:rsidP="00C06E10"/>
    <w:p w:rsidR="003C41D4" w:rsidRDefault="003C41D4" w:rsidP="00C06E10"/>
    <w:p w:rsidR="00626575" w:rsidRPr="003C41D4" w:rsidRDefault="00626575" w:rsidP="00C06E10">
      <w:pPr>
        <w:rPr>
          <w:b/>
          <w:u w:val="single"/>
        </w:rPr>
      </w:pPr>
      <w:r w:rsidRPr="003C41D4">
        <w:rPr>
          <w:b/>
          <w:u w:val="single"/>
        </w:rPr>
        <w:t xml:space="preserve">Budget History and proposals for the 4 coded wire tag projects: </w:t>
      </w:r>
    </w:p>
    <w:p w:rsidR="003C41D4" w:rsidRPr="00626575" w:rsidRDefault="003C41D4" w:rsidP="00C06E10">
      <w:pPr>
        <w:rPr>
          <w:color w:val="FF0000"/>
        </w:rPr>
      </w:pPr>
    </w:p>
    <w:p w:rsidR="00EE2541" w:rsidRDefault="00EE2541" w:rsidP="00C06E10">
      <w:pPr>
        <w:rPr>
          <w:color w:val="FF0000"/>
        </w:rPr>
      </w:pPr>
      <w:r w:rsidRPr="00EE2541">
        <w:rPr>
          <w:noProof/>
          <w:color w:val="FF0000"/>
        </w:rPr>
        <w:drawing>
          <wp:inline distT="0" distB="0" distL="0" distR="0">
            <wp:extent cx="4572000" cy="27432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E2541" w:rsidRDefault="00EE2541" w:rsidP="00C06E10">
      <w:pPr>
        <w:rPr>
          <w:color w:val="FF0000"/>
        </w:rPr>
      </w:pPr>
    </w:p>
    <w:p w:rsidR="0043145F" w:rsidRDefault="0043145F" w:rsidP="00C06E10"/>
    <w:p w:rsidR="00522A4D" w:rsidRPr="00626575" w:rsidRDefault="00C06E10" w:rsidP="00522A4D">
      <w:pPr>
        <w:autoSpaceDE w:val="0"/>
        <w:autoSpaceDN w:val="0"/>
        <w:adjustRightInd w:val="0"/>
      </w:pPr>
      <w:r>
        <w:rPr>
          <w:b/>
          <w:u w:val="single"/>
        </w:rPr>
        <w:t xml:space="preserve">Background and </w:t>
      </w:r>
      <w:r w:rsidRPr="00563D2B">
        <w:rPr>
          <w:b/>
          <w:u w:val="single"/>
        </w:rPr>
        <w:t>Staff comments:</w:t>
      </w:r>
      <w:r w:rsidRPr="00563D2B">
        <w:rPr>
          <w:b/>
        </w:rPr>
        <w:t xml:space="preserve">  </w:t>
      </w:r>
      <w:r w:rsidR="00522A4D">
        <w:t>The Council’s issues of concern from fourteen years ago, noted above, remain unresolved. Additional concerns have been raised during this review cycle by the ISRP and recently and exhaustively, by the Pacific Salmon Commission in a 191 page Action Plan: (</w:t>
      </w:r>
      <w:r w:rsidR="00522A4D" w:rsidRPr="00DC5F4C">
        <w:rPr>
          <w:i/>
          <w:sz w:val="22"/>
          <w:szCs w:val="22"/>
        </w:rPr>
        <w:t>Pacific Salmon Commission Coded Wire Tag Workgroup. 2008. An action plan in response to Coded Wire Tag (CWT) Expert Panel Recommendations. Pacific Salmon Comm. Tech. Rep. No. 25: 170 p</w:t>
      </w:r>
      <w:r w:rsidR="00522A4D">
        <w:rPr>
          <w:sz w:val="22"/>
          <w:szCs w:val="22"/>
        </w:rPr>
        <w:t>.)</w:t>
      </w:r>
    </w:p>
    <w:p w:rsidR="005D093B" w:rsidRPr="00781572" w:rsidRDefault="005D093B" w:rsidP="005D093B"/>
    <w:p w:rsidR="00C06E10" w:rsidRDefault="00C06E10" w:rsidP="00563D2B">
      <w:pPr>
        <w:rPr>
          <w:b/>
          <w:u w:val="single"/>
        </w:rPr>
      </w:pPr>
    </w:p>
    <w:p w:rsidR="00A110E9" w:rsidRDefault="007A5EAE" w:rsidP="00A110E9">
      <w:r w:rsidRPr="0067730A">
        <w:rPr>
          <w:b/>
          <w:u w:val="single"/>
        </w:rPr>
        <w:t>ISRP Comments:</w:t>
      </w:r>
      <w:r>
        <w:t xml:space="preserve">  </w:t>
      </w:r>
      <w:r w:rsidR="00A110E9" w:rsidRPr="00A110E9">
        <w:t xml:space="preserve">Tagging of salmon (coded-wire-tags, PIT tags, acoustic tags, and genetic markers) is a key tool for quantifying stock composition in mixed-stock fisheries and on the spawning grounds, estimating survival rates, describing migration patterns, and testing a variety of other hypotheses. </w:t>
      </w:r>
    </w:p>
    <w:p w:rsidR="00A110E9" w:rsidRDefault="00A110E9" w:rsidP="009256B5"/>
    <w:p w:rsidR="00A110E9" w:rsidRDefault="00A110E9" w:rsidP="00A110E9">
      <w:r w:rsidRPr="00A110E9">
        <w:t xml:space="preserve">Tagging projects require coordination among multiple agencies, including management and </w:t>
      </w:r>
      <w:r>
        <w:t>r</w:t>
      </w:r>
      <w:r w:rsidRPr="00A110E9">
        <w:t xml:space="preserve">esearcher organizations, in order to be most effective, yet such coordination, planning and justification of tagging and recovery efforts were not apparent among some proposals. For example, although some tagging coordination occurs among agencies, </w:t>
      </w:r>
      <w:r w:rsidRPr="006E3A4F">
        <w:rPr>
          <w:u w:val="single"/>
        </w:rPr>
        <w:t>the CWT proposals did not refer to an overall plan to coordinate tagging of salmon throughout the Columbia River Basin, recovering tags in the fisheries, and recovering tags on the spawning grounds</w:t>
      </w:r>
      <w:r w:rsidRPr="00A110E9">
        <w:t xml:space="preserve">. </w:t>
      </w:r>
    </w:p>
    <w:p w:rsidR="00A110E9" w:rsidRPr="00A110E9" w:rsidRDefault="00A940C7" w:rsidP="00A940C7">
      <w:pPr>
        <w:tabs>
          <w:tab w:val="left" w:pos="5370"/>
        </w:tabs>
      </w:pPr>
      <w:r>
        <w:tab/>
      </w:r>
    </w:p>
    <w:p w:rsidR="00A110E9" w:rsidRPr="00A110E9" w:rsidRDefault="00A110E9" w:rsidP="00A110E9">
      <w:r w:rsidRPr="00A110E9">
        <w:t xml:space="preserve">Coordinated </w:t>
      </w:r>
      <w:r w:rsidR="007607AD" w:rsidRPr="00A110E9">
        <w:t>tag</w:t>
      </w:r>
      <w:r w:rsidR="007607AD">
        <w:t>ging</w:t>
      </w:r>
      <w:r w:rsidRPr="00A110E9">
        <w:t xml:space="preserve"> efforts should justify tagging effort by hatchery location and salmon species, and tag recovery efforts necessary to generate meaningful results for anticipated studies. Furthermore, many juvenile CWT salmon recovered in some research investigations (e.g., NOAA &amp; OSU ocean studies) have not been reported in the RMIS database (2010 Regional Mark Committee minutes). </w:t>
      </w:r>
      <w:r w:rsidRPr="006E3A4F">
        <w:rPr>
          <w:u w:val="single"/>
        </w:rPr>
        <w:t>The proposals did not mention how they responded to recommendations by the Pacific Salmon Commission CWT Workgroup</w:t>
      </w:r>
      <w:r w:rsidRPr="00A110E9">
        <w:t xml:space="preserve"> (2008).</w:t>
      </w:r>
    </w:p>
    <w:p w:rsidR="00A110E9" w:rsidRDefault="00A110E9" w:rsidP="00A110E9"/>
    <w:p w:rsidR="00A110E9" w:rsidRDefault="00A110E9" w:rsidP="00A110E9">
      <w:r w:rsidRPr="00A110E9">
        <w:t xml:space="preserve">Mini-jacks can occur at high (up to 50%; B. Beckman, NMFS, pers. communication) and variable rates among yearling male Chinook salmon and steelhead released from hatcheries. High and variable numbers of mini-jacks among CWT releases may bias survival studies because these fish would be counted as mortalities. An effort is needed to </w:t>
      </w:r>
      <w:r w:rsidRPr="006E3A4F">
        <w:rPr>
          <w:u w:val="single"/>
        </w:rPr>
        <w:t>document the potential bias caused by mini-jacks</w:t>
      </w:r>
      <w:r w:rsidRPr="00A110E9">
        <w:t xml:space="preserve"> and to further evaluate blood assays as a method for estimating the presence of mini-jacks in yearling releases of Chinook and steelhead because some researchers (e.g., R. Carmichael) have not observed the same high mini-jack levels that have been reported</w:t>
      </w:r>
      <w:r>
        <w:t xml:space="preserve"> </w:t>
      </w:r>
      <w:r w:rsidRPr="00A110E9">
        <w:t>by NMFS.</w:t>
      </w:r>
    </w:p>
    <w:p w:rsidR="006F0D6C" w:rsidRDefault="006F0D6C" w:rsidP="00A110E9"/>
    <w:p w:rsidR="006F0D6C" w:rsidRPr="00A110E9" w:rsidRDefault="006F0D6C" w:rsidP="00A110E9">
      <w:r>
        <w:rPr>
          <w:sz w:val="23"/>
          <w:szCs w:val="23"/>
        </w:rPr>
        <w:t>The region is also exploring the use of these markers to identify and enumerate Snake River steelhead and Chinook salmon at the population level at Lower Granite Dam – investigations referred to as GSI (genetic stock identification). The final extension of using SNP markers is to develop Parental Based Tagging (PBT) of hatchery salmon and steelhead for use in both harvest and hatchery broodstock management. PBT has the potential to complement or replace CWT management of harvest (see CWT section above). The ISRP believes these methods will yield important efficiencies in managing harvest and hatcheries and are justified.</w:t>
      </w:r>
    </w:p>
    <w:p w:rsidR="007A5EAE" w:rsidRDefault="007A5EAE" w:rsidP="00A110E9">
      <w:pPr>
        <w:ind w:firstLine="720"/>
      </w:pPr>
    </w:p>
    <w:p w:rsidR="00A110E9" w:rsidRPr="00A110E9" w:rsidRDefault="007A5EAE" w:rsidP="00A110E9">
      <w:r w:rsidRPr="00A110E9">
        <w:rPr>
          <w:b/>
          <w:u w:val="single"/>
        </w:rPr>
        <w:t>ISRP Suggestions:</w:t>
      </w:r>
      <w:r w:rsidR="00A110E9" w:rsidRPr="00A110E9">
        <w:rPr>
          <w:b/>
          <w:color w:val="FF0000"/>
        </w:rPr>
        <w:t xml:space="preserve">  </w:t>
      </w:r>
    </w:p>
    <w:p w:rsidR="00A110E9" w:rsidRDefault="00A110E9" w:rsidP="00A110E9">
      <w:r w:rsidRPr="00A110E9">
        <w:t xml:space="preserve">After reviewing project proposals, </w:t>
      </w:r>
      <w:r w:rsidR="00114D63">
        <w:t>the ISRP</w:t>
      </w:r>
      <w:r w:rsidRPr="00A110E9">
        <w:t xml:space="preserve"> identified two coded wire tag-related actions requiring further effort in the Basin:</w:t>
      </w:r>
    </w:p>
    <w:p w:rsidR="00A110E9" w:rsidRPr="00A110E9" w:rsidRDefault="00A110E9" w:rsidP="00A110E9"/>
    <w:p w:rsidR="00A110E9" w:rsidRDefault="00A110E9" w:rsidP="00A110E9">
      <w:pPr>
        <w:pStyle w:val="ListParagraph"/>
        <w:numPr>
          <w:ilvl w:val="0"/>
          <w:numId w:val="13"/>
        </w:numPr>
      </w:pPr>
      <w:r w:rsidRPr="00A110E9">
        <w:t>Develop a comprehensive plan that guides tagging and recovery activities throughout the Basin, especially among CWT operations;</w:t>
      </w:r>
    </w:p>
    <w:p w:rsidR="00A110E9" w:rsidRPr="00A110E9" w:rsidRDefault="00A110E9" w:rsidP="00A110E9">
      <w:pPr>
        <w:ind w:left="720"/>
      </w:pPr>
    </w:p>
    <w:p w:rsidR="00A110E9" w:rsidRDefault="00A110E9" w:rsidP="00A110E9">
      <w:pPr>
        <w:ind w:left="720"/>
      </w:pPr>
      <w:r w:rsidRPr="00A110E9">
        <w:t xml:space="preserve">2) </w:t>
      </w:r>
      <w:r w:rsidR="00522A4D">
        <w:t xml:space="preserve"> </w:t>
      </w:r>
      <w:r w:rsidR="00533CE6">
        <w:t xml:space="preserve"> </w:t>
      </w:r>
      <w:r>
        <w:t>E</w:t>
      </w:r>
      <w:r w:rsidRPr="00A110E9">
        <w:t>valuate the magnitude of mini-jacks among yearling CWT Chinook salmon releases, and record mini-jack data in the RMIS database.</w:t>
      </w:r>
    </w:p>
    <w:p w:rsidR="00A110E9" w:rsidRPr="00A110E9" w:rsidRDefault="00A110E9" w:rsidP="00A110E9">
      <w:pPr>
        <w:ind w:left="720"/>
      </w:pPr>
    </w:p>
    <w:p w:rsidR="00353F30" w:rsidRDefault="00353F30" w:rsidP="00563D2B">
      <w:pPr>
        <w:rPr>
          <w:b/>
          <w:u w:val="single"/>
        </w:rPr>
      </w:pPr>
      <w:r>
        <w:rPr>
          <w:b/>
          <w:u w:val="single"/>
        </w:rPr>
        <w:t>Relation to Council Questions</w:t>
      </w:r>
    </w:p>
    <w:p w:rsidR="00353F30" w:rsidRDefault="00353F30" w:rsidP="00563D2B">
      <w:pPr>
        <w:rPr>
          <w:b/>
          <w:u w:val="single"/>
        </w:rPr>
      </w:pPr>
    </w:p>
    <w:p w:rsidR="00353F30" w:rsidRDefault="00353F30" w:rsidP="00563D2B">
      <w:r>
        <w:t xml:space="preserve">The Council formed several policy issues as questions in July 2010. The projects within this programmatic area remain poorly defined for the purposes of addressing objectives relative the fish and wildlife Program’s needs. CWTs do provide insight into the significant biological risk resulting from harvest programs, and have the potential to address HLIs. Declining tag recovery rates and confounding factors such as mass-marking and the presence of mini-jacks make documenting the </w:t>
      </w:r>
      <w:r>
        <w:lastRenderedPageBreak/>
        <w:t xml:space="preserve">project accomplishments and aggregation efforts problematical and weaken the statistical strength of the data gathered by these projects. This is one data set that that attempts to </w:t>
      </w:r>
      <w:r w:rsidR="00D225BA">
        <w:t>answer</w:t>
      </w:r>
      <w:r w:rsidR="00A940C7">
        <w:t xml:space="preserve"> questions related to </w:t>
      </w:r>
      <w:r>
        <w:t>the ocean</w:t>
      </w:r>
      <w:r w:rsidR="00D225BA">
        <w:t>, and in-river,</w:t>
      </w:r>
      <w:r>
        <w:t xml:space="preserve"> </w:t>
      </w:r>
      <w:r w:rsidR="00D225BA">
        <w:t>effects</w:t>
      </w:r>
      <w:r>
        <w:t xml:space="preserve"> of harvest</w:t>
      </w:r>
      <w:r w:rsidR="00D225BA">
        <w:t>.</w:t>
      </w:r>
    </w:p>
    <w:p w:rsidR="00353F30" w:rsidRPr="00353F30" w:rsidRDefault="00353F30" w:rsidP="00563D2B"/>
    <w:p w:rsidR="00353F30" w:rsidRDefault="00353F30" w:rsidP="00563D2B">
      <w:pPr>
        <w:rPr>
          <w:b/>
          <w:u w:val="single"/>
        </w:rPr>
      </w:pPr>
    </w:p>
    <w:p w:rsidR="007A5EAE" w:rsidRPr="00A110E9" w:rsidRDefault="007A5EAE" w:rsidP="00563D2B">
      <w:pPr>
        <w:rPr>
          <w:b/>
          <w:u w:val="single"/>
        </w:rPr>
      </w:pPr>
      <w:r w:rsidRPr="00A110E9">
        <w:rPr>
          <w:b/>
          <w:u w:val="single"/>
        </w:rPr>
        <w:t>Possible Options:</w:t>
      </w:r>
    </w:p>
    <w:p w:rsidR="00114D63" w:rsidRDefault="00A110E9" w:rsidP="00A110E9">
      <w:r w:rsidRPr="00A110E9">
        <w:t xml:space="preserve"> </w:t>
      </w:r>
    </w:p>
    <w:p w:rsidR="00A110E9" w:rsidRDefault="00A110E9" w:rsidP="00A110E9">
      <w:r w:rsidRPr="00A110E9">
        <w:t xml:space="preserve">1 </w:t>
      </w:r>
      <w:r>
        <w:t>–</w:t>
      </w:r>
      <w:r w:rsidRPr="00A110E9">
        <w:t xml:space="preserve"> </w:t>
      </w:r>
      <w:r w:rsidR="00114D63">
        <w:t>Recommend continued funding of the CWT projects conditioned on the project sponsors successful i</w:t>
      </w:r>
      <w:r>
        <w:t>mplement</w:t>
      </w:r>
      <w:r w:rsidR="00114D63">
        <w:t>ation of</w:t>
      </w:r>
      <w:r>
        <w:t xml:space="preserve"> the Pacific Salmon Commission CWT workgroup Expert Panel </w:t>
      </w:r>
      <w:r w:rsidR="00114D63">
        <w:t>R</w:t>
      </w:r>
      <w:r>
        <w:t>ecommendations</w:t>
      </w:r>
      <w:r w:rsidR="00114D63">
        <w:t xml:space="preserve"> as endorsed </w:t>
      </w:r>
      <w:r w:rsidR="00522A4D">
        <w:t xml:space="preserve">and conditioned </w:t>
      </w:r>
      <w:r w:rsidR="00114D63">
        <w:t>by the ISRP.</w:t>
      </w:r>
    </w:p>
    <w:p w:rsidR="00114D63" w:rsidRDefault="00114D63" w:rsidP="00A110E9"/>
    <w:p w:rsidR="00114D63" w:rsidRDefault="00114D63" w:rsidP="00A110E9">
      <w:r>
        <w:t xml:space="preserve">2 – Recommend one year of continued funding conditional on all project proponents agreeing to engage in a Council process over the next year that will identify what fish and wildlife Program requirements are served by the CWT projects. Make any adjusted funding recommendations at the end of the year. </w:t>
      </w:r>
    </w:p>
    <w:p w:rsidR="00113EB7" w:rsidRDefault="00113EB7" w:rsidP="00A110E9"/>
    <w:p w:rsidR="00533CE6" w:rsidRPr="00A110E9" w:rsidRDefault="00113EB7" w:rsidP="00563D2B">
      <w:pPr>
        <w:rPr>
          <w:b/>
          <w:u w:val="single"/>
        </w:rPr>
      </w:pPr>
      <w:r>
        <w:t xml:space="preserve">3 – </w:t>
      </w:r>
      <w:r w:rsidR="00856F11" w:rsidRPr="00856F11">
        <w:rPr>
          <w:b/>
        </w:rPr>
        <w:t>(Staff Preferred)</w:t>
      </w:r>
      <w:r w:rsidR="00856F11">
        <w:t xml:space="preserve"> </w:t>
      </w:r>
      <w:r>
        <w:t>Recommend one year of funding while evaluating the viability of replacing CWTs with</w:t>
      </w:r>
      <w:r w:rsidR="001D38DC">
        <w:t xml:space="preserve"> </w:t>
      </w:r>
      <w:r>
        <w:t>other tagging techniques</w:t>
      </w:r>
      <w:r w:rsidR="00262601">
        <w:t>. At the end of the year recommend a transition strategy and funding pattern to support the strategy.</w:t>
      </w:r>
    </w:p>
    <w:p w:rsidR="007A5EAE" w:rsidRDefault="007A5EAE" w:rsidP="00563D2B">
      <w:pPr>
        <w:rPr>
          <w:b/>
          <w:u w:val="single"/>
        </w:rPr>
      </w:pPr>
    </w:p>
    <w:p w:rsidR="00C06E10" w:rsidRDefault="00C06E10" w:rsidP="00563D2B">
      <w:pPr>
        <w:rPr>
          <w:b/>
          <w:u w:val="single"/>
        </w:rPr>
      </w:pPr>
      <w:r>
        <w:rPr>
          <w:b/>
          <w:u w:val="single"/>
        </w:rPr>
        <w:t>Projects included in this programmatic</w:t>
      </w:r>
      <w:r w:rsidR="00406A78">
        <w:rPr>
          <w:b/>
          <w:u w:val="single"/>
        </w:rPr>
        <w:t xml:space="preserve"> issue</w:t>
      </w:r>
      <w:r>
        <w:rPr>
          <w:b/>
          <w:u w:val="single"/>
        </w:rPr>
        <w:t>:</w:t>
      </w:r>
    </w:p>
    <w:p w:rsidR="00406A78" w:rsidRDefault="00406A78" w:rsidP="007A5EAE">
      <w:pPr>
        <w:tabs>
          <w:tab w:val="left" w:pos="6300"/>
        </w:tabs>
        <w:rPr>
          <w:b/>
          <w:u w:val="single"/>
        </w:rPr>
      </w:pPr>
    </w:p>
    <w:tbl>
      <w:tblPr>
        <w:tblW w:w="1020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7"/>
        <w:gridCol w:w="2954"/>
        <w:gridCol w:w="2109"/>
        <w:gridCol w:w="1198"/>
        <w:gridCol w:w="900"/>
        <w:gridCol w:w="2070"/>
      </w:tblGrid>
      <w:tr w:rsidR="007A5EAE" w:rsidRPr="00442F06" w:rsidTr="007A5EAE">
        <w:trPr>
          <w:trHeight w:val="255"/>
        </w:trPr>
        <w:tc>
          <w:tcPr>
            <w:tcW w:w="977" w:type="dxa"/>
          </w:tcPr>
          <w:p w:rsidR="007A5EAE" w:rsidRPr="0052496A" w:rsidRDefault="007A5EAE" w:rsidP="00D73213">
            <w:pPr>
              <w:rPr>
                <w:b/>
                <w:sz w:val="20"/>
                <w:szCs w:val="20"/>
              </w:rPr>
            </w:pPr>
            <w:r w:rsidRPr="0052496A">
              <w:rPr>
                <w:b/>
                <w:sz w:val="20"/>
                <w:szCs w:val="20"/>
              </w:rPr>
              <w:t>Project #</w:t>
            </w:r>
          </w:p>
        </w:tc>
        <w:tc>
          <w:tcPr>
            <w:tcW w:w="2954" w:type="dxa"/>
          </w:tcPr>
          <w:p w:rsidR="007A5EAE" w:rsidRPr="0052496A" w:rsidRDefault="007A5EAE" w:rsidP="00D73213">
            <w:pPr>
              <w:rPr>
                <w:b/>
                <w:sz w:val="20"/>
                <w:szCs w:val="20"/>
              </w:rPr>
            </w:pPr>
            <w:r w:rsidRPr="0052496A">
              <w:rPr>
                <w:b/>
                <w:sz w:val="20"/>
                <w:szCs w:val="20"/>
              </w:rPr>
              <w:t>Project Title</w:t>
            </w:r>
          </w:p>
        </w:tc>
        <w:tc>
          <w:tcPr>
            <w:tcW w:w="2109" w:type="dxa"/>
          </w:tcPr>
          <w:p w:rsidR="007A5EAE" w:rsidRPr="0052496A" w:rsidRDefault="007A5EAE" w:rsidP="00D73213">
            <w:pPr>
              <w:rPr>
                <w:b/>
                <w:sz w:val="20"/>
                <w:szCs w:val="20"/>
              </w:rPr>
            </w:pPr>
            <w:r w:rsidRPr="0052496A">
              <w:rPr>
                <w:b/>
                <w:sz w:val="20"/>
                <w:szCs w:val="20"/>
              </w:rPr>
              <w:t>Sponsors</w:t>
            </w:r>
          </w:p>
        </w:tc>
        <w:tc>
          <w:tcPr>
            <w:tcW w:w="1198" w:type="dxa"/>
          </w:tcPr>
          <w:p w:rsidR="007A5EAE" w:rsidRPr="00093333" w:rsidRDefault="007A5EAE" w:rsidP="00D73213">
            <w:pPr>
              <w:rPr>
                <w:b/>
                <w:sz w:val="20"/>
                <w:szCs w:val="20"/>
              </w:rPr>
            </w:pPr>
            <w:r w:rsidRPr="00093333">
              <w:rPr>
                <w:b/>
                <w:sz w:val="20"/>
                <w:szCs w:val="20"/>
              </w:rPr>
              <w:t>Accord</w:t>
            </w:r>
          </w:p>
        </w:tc>
        <w:tc>
          <w:tcPr>
            <w:tcW w:w="900" w:type="dxa"/>
          </w:tcPr>
          <w:p w:rsidR="007A5EAE" w:rsidRPr="00093333" w:rsidRDefault="007A5EAE" w:rsidP="00D73213">
            <w:pPr>
              <w:rPr>
                <w:b/>
                <w:sz w:val="20"/>
                <w:szCs w:val="20"/>
              </w:rPr>
            </w:pPr>
            <w:r w:rsidRPr="00093333">
              <w:rPr>
                <w:b/>
                <w:sz w:val="20"/>
                <w:szCs w:val="20"/>
              </w:rPr>
              <w:t>BiOp</w:t>
            </w:r>
          </w:p>
        </w:tc>
        <w:tc>
          <w:tcPr>
            <w:tcW w:w="2070" w:type="dxa"/>
          </w:tcPr>
          <w:p w:rsidR="007A5EAE" w:rsidRDefault="007A5EAE" w:rsidP="00D73213">
            <w:pPr>
              <w:rPr>
                <w:b/>
                <w:sz w:val="20"/>
                <w:szCs w:val="20"/>
              </w:rPr>
            </w:pPr>
            <w:r>
              <w:rPr>
                <w:b/>
                <w:sz w:val="20"/>
                <w:szCs w:val="20"/>
              </w:rPr>
              <w:t xml:space="preserve">Funding Req. </w:t>
            </w:r>
          </w:p>
          <w:p w:rsidR="007A5EAE" w:rsidRPr="00114D63" w:rsidRDefault="007A5EAE" w:rsidP="00093333">
            <w:pPr>
              <w:rPr>
                <w:b/>
                <w:sz w:val="20"/>
                <w:szCs w:val="20"/>
              </w:rPr>
            </w:pPr>
            <w:r w:rsidRPr="00114D63">
              <w:rPr>
                <w:b/>
                <w:sz w:val="20"/>
                <w:szCs w:val="20"/>
              </w:rPr>
              <w:t xml:space="preserve">FY </w:t>
            </w:r>
            <w:r w:rsidR="00093333">
              <w:rPr>
                <w:b/>
                <w:sz w:val="20"/>
                <w:szCs w:val="20"/>
              </w:rPr>
              <w:t>2012</w:t>
            </w:r>
          </w:p>
        </w:tc>
      </w:tr>
      <w:tr w:rsidR="007A5EAE" w:rsidRPr="00442F06" w:rsidTr="007A5EAE">
        <w:trPr>
          <w:trHeight w:val="255"/>
        </w:trPr>
        <w:tc>
          <w:tcPr>
            <w:tcW w:w="977" w:type="dxa"/>
          </w:tcPr>
          <w:p w:rsidR="00B93483" w:rsidRPr="00B93483" w:rsidRDefault="00B93483" w:rsidP="00B93483">
            <w:pPr>
              <w:rPr>
                <w:sz w:val="20"/>
                <w:szCs w:val="20"/>
              </w:rPr>
            </w:pPr>
            <w:r w:rsidRPr="00B93483">
              <w:rPr>
                <w:sz w:val="20"/>
                <w:szCs w:val="20"/>
              </w:rPr>
              <w:t>1982-</w:t>
            </w:r>
          </w:p>
          <w:p w:rsidR="007A5EAE" w:rsidRPr="00D17856" w:rsidRDefault="00B93483" w:rsidP="00B93483">
            <w:pPr>
              <w:rPr>
                <w:sz w:val="20"/>
                <w:szCs w:val="20"/>
              </w:rPr>
            </w:pPr>
            <w:r w:rsidRPr="00B93483">
              <w:rPr>
                <w:sz w:val="20"/>
                <w:szCs w:val="20"/>
              </w:rPr>
              <w:t>013-01</w:t>
            </w:r>
          </w:p>
        </w:tc>
        <w:tc>
          <w:tcPr>
            <w:tcW w:w="2954" w:type="dxa"/>
          </w:tcPr>
          <w:p w:rsidR="00B93483" w:rsidRPr="00B93483" w:rsidRDefault="00B93483" w:rsidP="00B93483">
            <w:pPr>
              <w:rPr>
                <w:sz w:val="20"/>
                <w:szCs w:val="20"/>
              </w:rPr>
            </w:pPr>
            <w:r w:rsidRPr="00B93483">
              <w:rPr>
                <w:sz w:val="20"/>
                <w:szCs w:val="20"/>
              </w:rPr>
              <w:t xml:space="preserve">Coded Wire Tag-Pacific States </w:t>
            </w:r>
          </w:p>
          <w:p w:rsidR="007A5EAE" w:rsidRPr="00D17856" w:rsidRDefault="00B93483" w:rsidP="00B93483">
            <w:pPr>
              <w:rPr>
                <w:sz w:val="20"/>
                <w:szCs w:val="20"/>
              </w:rPr>
            </w:pPr>
            <w:r w:rsidRPr="00B93483">
              <w:rPr>
                <w:sz w:val="20"/>
                <w:szCs w:val="20"/>
              </w:rPr>
              <w:t>Marine Fisheries Commission</w:t>
            </w:r>
          </w:p>
        </w:tc>
        <w:tc>
          <w:tcPr>
            <w:tcW w:w="2109" w:type="dxa"/>
          </w:tcPr>
          <w:p w:rsidR="007A5EAE" w:rsidRPr="00D17856" w:rsidRDefault="00B93483" w:rsidP="00D73213">
            <w:pPr>
              <w:rPr>
                <w:sz w:val="20"/>
                <w:szCs w:val="20"/>
              </w:rPr>
            </w:pPr>
            <w:r w:rsidRPr="00B93483">
              <w:rPr>
                <w:sz w:val="20"/>
                <w:szCs w:val="20"/>
              </w:rPr>
              <w:t>PSMFC</w:t>
            </w:r>
          </w:p>
        </w:tc>
        <w:tc>
          <w:tcPr>
            <w:tcW w:w="1198" w:type="dxa"/>
          </w:tcPr>
          <w:p w:rsidR="007A5EAE" w:rsidRDefault="007A5EAE" w:rsidP="00284EC4">
            <w:pPr>
              <w:rPr>
                <w:sz w:val="20"/>
                <w:szCs w:val="20"/>
              </w:rPr>
            </w:pPr>
          </w:p>
        </w:tc>
        <w:tc>
          <w:tcPr>
            <w:tcW w:w="900" w:type="dxa"/>
          </w:tcPr>
          <w:p w:rsidR="007A5EAE" w:rsidRDefault="00B93483" w:rsidP="00284EC4">
            <w:pPr>
              <w:rPr>
                <w:sz w:val="20"/>
                <w:szCs w:val="20"/>
              </w:rPr>
            </w:pPr>
            <w:r>
              <w:rPr>
                <w:sz w:val="20"/>
                <w:szCs w:val="20"/>
              </w:rPr>
              <w:t>X</w:t>
            </w:r>
          </w:p>
        </w:tc>
        <w:tc>
          <w:tcPr>
            <w:tcW w:w="2070" w:type="dxa"/>
          </w:tcPr>
          <w:p w:rsidR="00B93483" w:rsidRDefault="00B93483" w:rsidP="00B93483">
            <w:pPr>
              <w:rPr>
                <w:rFonts w:ascii="Arial" w:hAnsi="Arial" w:cs="Arial"/>
                <w:sz w:val="20"/>
                <w:szCs w:val="20"/>
              </w:rPr>
            </w:pPr>
            <w:r>
              <w:rPr>
                <w:rFonts w:ascii="Arial" w:hAnsi="Arial" w:cs="Arial"/>
                <w:sz w:val="20"/>
                <w:szCs w:val="20"/>
              </w:rPr>
              <w:t xml:space="preserve">$  2,293,197 </w:t>
            </w:r>
          </w:p>
          <w:p w:rsidR="007A5EAE" w:rsidRPr="00D17856" w:rsidRDefault="007A5EAE" w:rsidP="00284EC4">
            <w:pPr>
              <w:rPr>
                <w:sz w:val="20"/>
                <w:szCs w:val="20"/>
              </w:rPr>
            </w:pPr>
            <w:r>
              <w:rPr>
                <w:sz w:val="20"/>
                <w:szCs w:val="20"/>
              </w:rPr>
              <w:t xml:space="preserve"> (FY 2012)</w:t>
            </w:r>
          </w:p>
        </w:tc>
      </w:tr>
      <w:tr w:rsidR="007A5EAE" w:rsidRPr="00442F06" w:rsidTr="007A5EAE">
        <w:trPr>
          <w:trHeight w:val="255"/>
        </w:trPr>
        <w:tc>
          <w:tcPr>
            <w:tcW w:w="977" w:type="dxa"/>
          </w:tcPr>
          <w:p w:rsidR="00B93483" w:rsidRPr="00B93483" w:rsidRDefault="00B93483" w:rsidP="00B93483">
            <w:pPr>
              <w:rPr>
                <w:iCs/>
                <w:sz w:val="20"/>
                <w:szCs w:val="20"/>
              </w:rPr>
            </w:pPr>
            <w:r w:rsidRPr="00B93483">
              <w:rPr>
                <w:iCs/>
                <w:sz w:val="20"/>
                <w:szCs w:val="20"/>
              </w:rPr>
              <w:t>1982-</w:t>
            </w:r>
          </w:p>
          <w:p w:rsidR="007A5EAE" w:rsidRPr="008A5070" w:rsidRDefault="00B93483" w:rsidP="00B93483">
            <w:pPr>
              <w:rPr>
                <w:iCs/>
                <w:sz w:val="20"/>
                <w:szCs w:val="20"/>
              </w:rPr>
            </w:pPr>
            <w:r w:rsidRPr="00B93483">
              <w:rPr>
                <w:iCs/>
                <w:sz w:val="20"/>
                <w:szCs w:val="20"/>
              </w:rPr>
              <w:t>013-0</w:t>
            </w:r>
            <w:r>
              <w:rPr>
                <w:iCs/>
                <w:sz w:val="20"/>
                <w:szCs w:val="20"/>
              </w:rPr>
              <w:t>2</w:t>
            </w:r>
          </w:p>
        </w:tc>
        <w:tc>
          <w:tcPr>
            <w:tcW w:w="2954" w:type="dxa"/>
          </w:tcPr>
          <w:p w:rsidR="00B93483" w:rsidRPr="00B93483" w:rsidRDefault="00B93483" w:rsidP="00B93483">
            <w:pPr>
              <w:rPr>
                <w:iCs/>
                <w:sz w:val="20"/>
                <w:szCs w:val="20"/>
              </w:rPr>
            </w:pPr>
            <w:r w:rsidRPr="00B93483">
              <w:rPr>
                <w:iCs/>
                <w:sz w:val="20"/>
                <w:szCs w:val="20"/>
              </w:rPr>
              <w:t xml:space="preserve">Coded Wire Tag-Oregon Department </w:t>
            </w:r>
          </w:p>
          <w:p w:rsidR="007A5EAE" w:rsidRPr="00B15F95" w:rsidRDefault="00B93483" w:rsidP="00B93483">
            <w:pPr>
              <w:rPr>
                <w:i/>
                <w:iCs/>
                <w:sz w:val="20"/>
                <w:szCs w:val="20"/>
              </w:rPr>
            </w:pPr>
            <w:r w:rsidRPr="00B93483">
              <w:rPr>
                <w:iCs/>
                <w:sz w:val="20"/>
                <w:szCs w:val="20"/>
              </w:rPr>
              <w:t>of Fish and Wildlife (ODFW</w:t>
            </w:r>
          </w:p>
        </w:tc>
        <w:tc>
          <w:tcPr>
            <w:tcW w:w="2109" w:type="dxa"/>
          </w:tcPr>
          <w:p w:rsidR="007A5EAE" w:rsidRPr="008A5070" w:rsidRDefault="00B93483" w:rsidP="00D73213">
            <w:pPr>
              <w:rPr>
                <w:iCs/>
                <w:sz w:val="20"/>
                <w:szCs w:val="20"/>
              </w:rPr>
            </w:pPr>
            <w:r w:rsidRPr="00B93483">
              <w:rPr>
                <w:iCs/>
                <w:sz w:val="20"/>
                <w:szCs w:val="20"/>
              </w:rPr>
              <w:t>ODFW</w:t>
            </w:r>
          </w:p>
        </w:tc>
        <w:tc>
          <w:tcPr>
            <w:tcW w:w="1198" w:type="dxa"/>
          </w:tcPr>
          <w:p w:rsidR="007A5EAE" w:rsidRDefault="007A5EAE" w:rsidP="00D73213">
            <w:pPr>
              <w:rPr>
                <w:i/>
                <w:iCs/>
                <w:sz w:val="20"/>
                <w:szCs w:val="20"/>
              </w:rPr>
            </w:pPr>
          </w:p>
        </w:tc>
        <w:tc>
          <w:tcPr>
            <w:tcW w:w="900" w:type="dxa"/>
          </w:tcPr>
          <w:p w:rsidR="007A5EAE" w:rsidRPr="00B93483" w:rsidRDefault="00B93483" w:rsidP="00D73213">
            <w:pPr>
              <w:rPr>
                <w:iCs/>
                <w:sz w:val="20"/>
                <w:szCs w:val="20"/>
              </w:rPr>
            </w:pPr>
            <w:r>
              <w:rPr>
                <w:iCs/>
                <w:sz w:val="20"/>
                <w:szCs w:val="20"/>
              </w:rPr>
              <w:t>X</w:t>
            </w:r>
          </w:p>
        </w:tc>
        <w:tc>
          <w:tcPr>
            <w:tcW w:w="2070" w:type="dxa"/>
          </w:tcPr>
          <w:p w:rsidR="00B93483" w:rsidRDefault="00B93483" w:rsidP="00B93483">
            <w:pPr>
              <w:rPr>
                <w:rFonts w:ascii="Arial" w:hAnsi="Arial" w:cs="Arial"/>
                <w:sz w:val="20"/>
                <w:szCs w:val="20"/>
              </w:rPr>
            </w:pPr>
            <w:r>
              <w:rPr>
                <w:rFonts w:ascii="Arial" w:hAnsi="Arial" w:cs="Arial"/>
                <w:sz w:val="20"/>
                <w:szCs w:val="20"/>
              </w:rPr>
              <w:t xml:space="preserve">$     242,839 </w:t>
            </w:r>
          </w:p>
          <w:p w:rsidR="007A5EAE" w:rsidRPr="00B15F95" w:rsidRDefault="00B93483" w:rsidP="00D73213">
            <w:pPr>
              <w:rPr>
                <w:i/>
                <w:iCs/>
                <w:sz w:val="20"/>
                <w:szCs w:val="20"/>
              </w:rPr>
            </w:pPr>
            <w:r>
              <w:rPr>
                <w:sz w:val="20"/>
                <w:szCs w:val="20"/>
              </w:rPr>
              <w:t>(FY 2012)</w:t>
            </w:r>
          </w:p>
        </w:tc>
      </w:tr>
      <w:tr w:rsidR="007A5EAE" w:rsidRPr="00442F06" w:rsidTr="007A5EAE">
        <w:trPr>
          <w:trHeight w:val="255"/>
        </w:trPr>
        <w:tc>
          <w:tcPr>
            <w:tcW w:w="977" w:type="dxa"/>
          </w:tcPr>
          <w:p w:rsidR="007A5EAE" w:rsidRPr="008A5070" w:rsidRDefault="00603EE3" w:rsidP="008A5070">
            <w:pPr>
              <w:rPr>
                <w:iCs/>
                <w:sz w:val="20"/>
                <w:szCs w:val="20"/>
              </w:rPr>
            </w:pPr>
            <w:r>
              <w:rPr>
                <w:iCs/>
                <w:sz w:val="20"/>
                <w:szCs w:val="20"/>
              </w:rPr>
              <w:t>1982-13-03</w:t>
            </w:r>
          </w:p>
        </w:tc>
        <w:tc>
          <w:tcPr>
            <w:tcW w:w="2954" w:type="dxa"/>
          </w:tcPr>
          <w:p w:rsidR="007A5EAE" w:rsidRPr="008A5070" w:rsidRDefault="00603EE3" w:rsidP="00603EE3">
            <w:pPr>
              <w:rPr>
                <w:iCs/>
                <w:sz w:val="20"/>
                <w:szCs w:val="20"/>
              </w:rPr>
            </w:pPr>
            <w:r>
              <w:rPr>
                <w:rFonts w:ascii="Arial" w:hAnsi="Arial" w:cs="Arial"/>
                <w:sz w:val="20"/>
                <w:szCs w:val="20"/>
              </w:rPr>
              <w:t xml:space="preserve">Coded Wire Tag-US Fish and Wildlife Service (USFWS)  </w:t>
            </w:r>
          </w:p>
        </w:tc>
        <w:tc>
          <w:tcPr>
            <w:tcW w:w="2109" w:type="dxa"/>
          </w:tcPr>
          <w:p w:rsidR="007A5EAE" w:rsidRPr="008A5070" w:rsidRDefault="00603EE3" w:rsidP="008A5070">
            <w:pPr>
              <w:rPr>
                <w:iCs/>
                <w:sz w:val="20"/>
                <w:szCs w:val="20"/>
              </w:rPr>
            </w:pPr>
            <w:r w:rsidRPr="00603EE3">
              <w:rPr>
                <w:iCs/>
                <w:sz w:val="20"/>
                <w:szCs w:val="20"/>
              </w:rPr>
              <w:t>US Fish and Wildlife Service (USFWS)</w:t>
            </w:r>
          </w:p>
        </w:tc>
        <w:tc>
          <w:tcPr>
            <w:tcW w:w="1198" w:type="dxa"/>
          </w:tcPr>
          <w:p w:rsidR="007A5EAE" w:rsidRDefault="007A5EAE" w:rsidP="00AE4F56">
            <w:pPr>
              <w:rPr>
                <w:i/>
                <w:iCs/>
                <w:sz w:val="20"/>
                <w:szCs w:val="20"/>
              </w:rPr>
            </w:pPr>
          </w:p>
        </w:tc>
        <w:tc>
          <w:tcPr>
            <w:tcW w:w="900" w:type="dxa"/>
          </w:tcPr>
          <w:p w:rsidR="007A5EAE" w:rsidRPr="00114D63" w:rsidRDefault="00114D63" w:rsidP="00AE4F56">
            <w:pPr>
              <w:rPr>
                <w:iCs/>
                <w:sz w:val="20"/>
                <w:szCs w:val="20"/>
              </w:rPr>
            </w:pPr>
            <w:r>
              <w:rPr>
                <w:iCs/>
                <w:sz w:val="20"/>
                <w:szCs w:val="20"/>
              </w:rPr>
              <w:t>X</w:t>
            </w:r>
          </w:p>
        </w:tc>
        <w:tc>
          <w:tcPr>
            <w:tcW w:w="2070" w:type="dxa"/>
          </w:tcPr>
          <w:p w:rsidR="007A5EAE" w:rsidRPr="00114D63" w:rsidRDefault="00603EE3" w:rsidP="00093333">
            <w:pPr>
              <w:rPr>
                <w:iCs/>
                <w:sz w:val="20"/>
                <w:szCs w:val="20"/>
              </w:rPr>
            </w:pPr>
            <w:r w:rsidRPr="00114D63">
              <w:rPr>
                <w:iCs/>
                <w:sz w:val="20"/>
                <w:szCs w:val="20"/>
              </w:rPr>
              <w:t>$</w:t>
            </w:r>
            <w:r w:rsidR="00093333">
              <w:rPr>
                <w:iCs/>
                <w:sz w:val="20"/>
                <w:szCs w:val="20"/>
              </w:rPr>
              <w:t>0 (FY2012)</w:t>
            </w:r>
          </w:p>
        </w:tc>
      </w:tr>
      <w:tr w:rsidR="007A5EAE" w:rsidRPr="00442F06" w:rsidTr="007A5EAE">
        <w:trPr>
          <w:trHeight w:val="255"/>
        </w:trPr>
        <w:tc>
          <w:tcPr>
            <w:tcW w:w="977" w:type="dxa"/>
          </w:tcPr>
          <w:p w:rsidR="007A5EAE" w:rsidRPr="00114D63" w:rsidRDefault="00603EE3" w:rsidP="008A5070">
            <w:pPr>
              <w:rPr>
                <w:iCs/>
                <w:sz w:val="20"/>
                <w:szCs w:val="20"/>
              </w:rPr>
            </w:pPr>
            <w:r w:rsidRPr="00114D63">
              <w:rPr>
                <w:iCs/>
                <w:sz w:val="20"/>
                <w:szCs w:val="20"/>
              </w:rPr>
              <w:t>1982-13-04</w:t>
            </w:r>
          </w:p>
          <w:p w:rsidR="00603EE3" w:rsidRPr="00B15F95" w:rsidRDefault="00603EE3" w:rsidP="008A5070">
            <w:pPr>
              <w:rPr>
                <w:i/>
                <w:iCs/>
                <w:sz w:val="20"/>
                <w:szCs w:val="20"/>
              </w:rPr>
            </w:pPr>
          </w:p>
        </w:tc>
        <w:tc>
          <w:tcPr>
            <w:tcW w:w="2954" w:type="dxa"/>
          </w:tcPr>
          <w:p w:rsidR="007A5EAE" w:rsidRPr="00114D63" w:rsidRDefault="00114D63" w:rsidP="008A5070">
            <w:pPr>
              <w:rPr>
                <w:iCs/>
                <w:sz w:val="20"/>
                <w:szCs w:val="20"/>
              </w:rPr>
            </w:pPr>
            <w:r w:rsidRPr="00114D63">
              <w:rPr>
                <w:iCs/>
                <w:sz w:val="20"/>
                <w:szCs w:val="20"/>
              </w:rPr>
              <w:t>Coded Wire Tag-Washington Department of Fish and Wildlife (WDFW)</w:t>
            </w:r>
          </w:p>
        </w:tc>
        <w:tc>
          <w:tcPr>
            <w:tcW w:w="2109" w:type="dxa"/>
          </w:tcPr>
          <w:p w:rsidR="007A5EAE" w:rsidRPr="00114D63" w:rsidRDefault="00114D63" w:rsidP="008A5070">
            <w:pPr>
              <w:rPr>
                <w:iCs/>
                <w:sz w:val="20"/>
                <w:szCs w:val="20"/>
              </w:rPr>
            </w:pPr>
            <w:r w:rsidRPr="00114D63">
              <w:rPr>
                <w:iCs/>
                <w:sz w:val="20"/>
                <w:szCs w:val="20"/>
              </w:rPr>
              <w:t>Washington Department of Fish and Wildlife (WDFW)</w:t>
            </w:r>
          </w:p>
        </w:tc>
        <w:tc>
          <w:tcPr>
            <w:tcW w:w="1198" w:type="dxa"/>
          </w:tcPr>
          <w:p w:rsidR="007A5EAE" w:rsidRDefault="007A5EAE" w:rsidP="00D73213">
            <w:pPr>
              <w:rPr>
                <w:i/>
                <w:iCs/>
                <w:sz w:val="20"/>
                <w:szCs w:val="20"/>
              </w:rPr>
            </w:pPr>
          </w:p>
        </w:tc>
        <w:tc>
          <w:tcPr>
            <w:tcW w:w="900" w:type="dxa"/>
          </w:tcPr>
          <w:p w:rsidR="007A5EAE" w:rsidRPr="00114D63" w:rsidRDefault="00114D63" w:rsidP="00D73213">
            <w:pPr>
              <w:rPr>
                <w:iCs/>
                <w:sz w:val="20"/>
                <w:szCs w:val="20"/>
              </w:rPr>
            </w:pPr>
            <w:r>
              <w:rPr>
                <w:iCs/>
                <w:sz w:val="20"/>
                <w:szCs w:val="20"/>
              </w:rPr>
              <w:t>X</w:t>
            </w:r>
          </w:p>
        </w:tc>
        <w:tc>
          <w:tcPr>
            <w:tcW w:w="2070" w:type="dxa"/>
          </w:tcPr>
          <w:p w:rsidR="00114D63" w:rsidRDefault="00114D63" w:rsidP="00114D63">
            <w:pPr>
              <w:rPr>
                <w:rFonts w:ascii="Arial" w:hAnsi="Arial" w:cs="Arial"/>
                <w:sz w:val="20"/>
                <w:szCs w:val="20"/>
              </w:rPr>
            </w:pPr>
            <w:r>
              <w:rPr>
                <w:rFonts w:ascii="Arial" w:hAnsi="Arial" w:cs="Arial"/>
                <w:sz w:val="20"/>
                <w:szCs w:val="20"/>
              </w:rPr>
              <w:t xml:space="preserve">$     343,675 </w:t>
            </w:r>
          </w:p>
          <w:p w:rsidR="007A5EAE" w:rsidRPr="00093333" w:rsidRDefault="007A5EAE" w:rsidP="00D73213">
            <w:pPr>
              <w:rPr>
                <w:iCs/>
                <w:sz w:val="20"/>
                <w:szCs w:val="20"/>
              </w:rPr>
            </w:pPr>
            <w:r w:rsidRPr="00093333">
              <w:rPr>
                <w:iCs/>
                <w:sz w:val="20"/>
                <w:szCs w:val="20"/>
              </w:rPr>
              <w:t>(FY 2012)</w:t>
            </w:r>
          </w:p>
        </w:tc>
      </w:tr>
      <w:tr w:rsidR="007A5EAE" w:rsidRPr="007A5EAE" w:rsidTr="007A5EAE">
        <w:trPr>
          <w:trHeight w:val="255"/>
        </w:trPr>
        <w:tc>
          <w:tcPr>
            <w:tcW w:w="977" w:type="dxa"/>
          </w:tcPr>
          <w:p w:rsidR="007A5EAE" w:rsidRPr="007A5EAE" w:rsidRDefault="007A5EAE" w:rsidP="008A5070">
            <w:pPr>
              <w:rPr>
                <w:b/>
                <w:i/>
                <w:iCs/>
                <w:color w:val="FF0000"/>
                <w:sz w:val="20"/>
                <w:szCs w:val="20"/>
              </w:rPr>
            </w:pPr>
          </w:p>
        </w:tc>
        <w:tc>
          <w:tcPr>
            <w:tcW w:w="2954" w:type="dxa"/>
          </w:tcPr>
          <w:p w:rsidR="007A5EAE" w:rsidRPr="00093333" w:rsidRDefault="007A5EAE" w:rsidP="00012D4C">
            <w:pPr>
              <w:rPr>
                <w:b/>
                <w:i/>
                <w:iCs/>
                <w:sz w:val="20"/>
                <w:szCs w:val="20"/>
              </w:rPr>
            </w:pPr>
            <w:r w:rsidRPr="00093333">
              <w:rPr>
                <w:b/>
                <w:i/>
                <w:iCs/>
                <w:sz w:val="20"/>
                <w:szCs w:val="20"/>
              </w:rPr>
              <w:t>TOTAL</w:t>
            </w:r>
          </w:p>
        </w:tc>
        <w:tc>
          <w:tcPr>
            <w:tcW w:w="2109" w:type="dxa"/>
          </w:tcPr>
          <w:p w:rsidR="007A5EAE" w:rsidRPr="007A5EAE" w:rsidRDefault="007A5EAE" w:rsidP="00D73213">
            <w:pPr>
              <w:rPr>
                <w:b/>
                <w:i/>
                <w:iCs/>
                <w:color w:val="FF0000"/>
                <w:sz w:val="20"/>
                <w:szCs w:val="20"/>
              </w:rPr>
            </w:pPr>
          </w:p>
        </w:tc>
        <w:tc>
          <w:tcPr>
            <w:tcW w:w="1198" w:type="dxa"/>
          </w:tcPr>
          <w:p w:rsidR="007A5EAE" w:rsidRPr="007A5EAE" w:rsidRDefault="007A5EAE" w:rsidP="00D73213">
            <w:pPr>
              <w:rPr>
                <w:b/>
                <w:i/>
                <w:iCs/>
                <w:color w:val="FF0000"/>
                <w:sz w:val="20"/>
                <w:szCs w:val="20"/>
              </w:rPr>
            </w:pPr>
          </w:p>
        </w:tc>
        <w:tc>
          <w:tcPr>
            <w:tcW w:w="900" w:type="dxa"/>
          </w:tcPr>
          <w:p w:rsidR="007A5EAE" w:rsidRPr="007A5EAE" w:rsidRDefault="007A5EAE" w:rsidP="00D73213">
            <w:pPr>
              <w:rPr>
                <w:b/>
                <w:i/>
                <w:iCs/>
                <w:color w:val="FF0000"/>
                <w:sz w:val="20"/>
                <w:szCs w:val="20"/>
              </w:rPr>
            </w:pPr>
          </w:p>
        </w:tc>
        <w:tc>
          <w:tcPr>
            <w:tcW w:w="2070" w:type="dxa"/>
          </w:tcPr>
          <w:p w:rsidR="007A5EAE" w:rsidRPr="00093333" w:rsidRDefault="00093333" w:rsidP="00D73213">
            <w:pPr>
              <w:rPr>
                <w:rFonts w:ascii="Calibri" w:hAnsi="Calibri" w:cs="Calibri"/>
                <w:b/>
                <w:color w:val="000000"/>
                <w:sz w:val="22"/>
                <w:szCs w:val="22"/>
              </w:rPr>
            </w:pPr>
            <w:r w:rsidRPr="00093333">
              <w:rPr>
                <w:rFonts w:ascii="Calibri" w:hAnsi="Calibri" w:cs="Calibri"/>
                <w:b/>
                <w:color w:val="000000"/>
                <w:sz w:val="22"/>
                <w:szCs w:val="22"/>
              </w:rPr>
              <w:t xml:space="preserve">$   2,879,711 </w:t>
            </w:r>
          </w:p>
        </w:tc>
      </w:tr>
    </w:tbl>
    <w:p w:rsidR="00C06E10" w:rsidRDefault="00C06E10" w:rsidP="00563D2B">
      <w:pPr>
        <w:rPr>
          <w:b/>
          <w:u w:val="single"/>
        </w:rPr>
      </w:pPr>
    </w:p>
    <w:p w:rsidR="005446F4" w:rsidRDefault="005446F4" w:rsidP="00D17856">
      <w:pPr>
        <w:rPr>
          <w:b/>
          <w:u w:val="single"/>
        </w:rPr>
      </w:pPr>
    </w:p>
    <w:p w:rsidR="007A5EAE" w:rsidRPr="007607AD" w:rsidRDefault="007A5EAE" w:rsidP="008A3DC1">
      <w:pPr>
        <w:rPr>
          <w:b/>
          <w:u w:val="single"/>
        </w:rPr>
      </w:pPr>
      <w:r w:rsidRPr="007607AD">
        <w:rPr>
          <w:b/>
          <w:u w:val="single"/>
        </w:rPr>
        <w:t>Preliminary Recommendations:</w:t>
      </w:r>
    </w:p>
    <w:p w:rsidR="00925A1C" w:rsidRDefault="00925A1C" w:rsidP="008A3DC1">
      <w:pPr>
        <w:rPr>
          <w:b/>
          <w:color w:val="FF0000"/>
          <w:u w:val="single"/>
        </w:rPr>
      </w:pPr>
    </w:p>
    <w:p w:rsidR="00925A1C" w:rsidRDefault="00925A1C" w:rsidP="008A3DC1">
      <w:r w:rsidRPr="00925A1C">
        <w:t xml:space="preserve">Staff </w:t>
      </w:r>
      <w:r>
        <w:t>recommends making a one year</w:t>
      </w:r>
      <w:r w:rsidR="006A4F03">
        <w:t>, not to exceed,</w:t>
      </w:r>
      <w:r>
        <w:t xml:space="preserve"> </w:t>
      </w:r>
      <w:r w:rsidR="006A4F03">
        <w:t xml:space="preserve">total </w:t>
      </w:r>
      <w:r>
        <w:t>funding recommendation of $2,</w:t>
      </w:r>
      <w:r w:rsidR="006A4F03">
        <w:t>879</w:t>
      </w:r>
      <w:r>
        <w:t>,</w:t>
      </w:r>
      <w:r w:rsidR="006A4F03">
        <w:t>711</w:t>
      </w:r>
      <w:r>
        <w:t xml:space="preserve"> for all coded wire tag projects. Staff also recommend</w:t>
      </w:r>
      <w:r w:rsidR="00A940C7">
        <w:t>s</w:t>
      </w:r>
      <w:r>
        <w:t xml:space="preserve"> placing the following conditions on the CWT project sponsors:</w:t>
      </w:r>
    </w:p>
    <w:p w:rsidR="007A5EAE" w:rsidRPr="00A940C7" w:rsidRDefault="0004157C" w:rsidP="008A3DC1">
      <w:pPr>
        <w:pStyle w:val="ListParagraph"/>
        <w:numPr>
          <w:ilvl w:val="0"/>
          <w:numId w:val="14"/>
        </w:numPr>
        <w:rPr>
          <w:b/>
        </w:rPr>
      </w:pPr>
      <w:r>
        <w:t>Within one year from the date of the Council’s funding recommendation the sponsors will d</w:t>
      </w:r>
      <w:r w:rsidR="00A940C7">
        <w:t xml:space="preserve">evelop a single </w:t>
      </w:r>
      <w:r w:rsidR="00A940C7" w:rsidRPr="00A940C7">
        <w:t xml:space="preserve">overall plan to coordinate tagging of salmon throughout the Columbia River Basin, </w:t>
      </w:r>
      <w:r>
        <w:t xml:space="preserve">including </w:t>
      </w:r>
      <w:r w:rsidR="00A940C7" w:rsidRPr="00A940C7">
        <w:t>recovering tags in the fisheries, and recovering tags on the spawning grounds.</w:t>
      </w:r>
    </w:p>
    <w:p w:rsidR="006A4F03" w:rsidRPr="006A4F03" w:rsidRDefault="0004157C" w:rsidP="006A4F03">
      <w:pPr>
        <w:pStyle w:val="ListParagraph"/>
        <w:numPr>
          <w:ilvl w:val="0"/>
          <w:numId w:val="14"/>
        </w:numPr>
        <w:rPr>
          <w:b/>
          <w:u w:val="single"/>
        </w:rPr>
      </w:pPr>
      <w:r>
        <w:t>Within one year from the date of the Council’s funding recommendation the sponsors will e</w:t>
      </w:r>
      <w:r w:rsidR="006A4F03">
        <w:t xml:space="preserve">valuate the viability of replacing CWTs with other tagging techniques. At the end of the year </w:t>
      </w:r>
      <w:r>
        <w:t xml:space="preserve">the sponsors will </w:t>
      </w:r>
      <w:r w:rsidR="006A4F03">
        <w:t xml:space="preserve">recommend </w:t>
      </w:r>
      <w:r>
        <w:t xml:space="preserve">the Council and the ISRP </w:t>
      </w:r>
      <w:r w:rsidR="006A4F03">
        <w:t>a transition strategy</w:t>
      </w:r>
      <w:r>
        <w:t xml:space="preserve"> and </w:t>
      </w:r>
      <w:r>
        <w:lastRenderedPageBreak/>
        <w:t>timeline</w:t>
      </w:r>
      <w:r w:rsidR="006A4F03">
        <w:t xml:space="preserve"> </w:t>
      </w:r>
      <w:r>
        <w:t>to move to an alternate, more robust and reliable, alternative to CWTs including a proposed</w:t>
      </w:r>
      <w:r w:rsidR="006A4F03">
        <w:t xml:space="preserve"> funding pattern to support the strategy.</w:t>
      </w:r>
    </w:p>
    <w:p w:rsidR="00533CE6" w:rsidRPr="0004157C" w:rsidRDefault="006A4F03" w:rsidP="008A3DC1">
      <w:pPr>
        <w:pStyle w:val="ListParagraph"/>
        <w:numPr>
          <w:ilvl w:val="0"/>
          <w:numId w:val="14"/>
        </w:numPr>
        <w:rPr>
          <w:b/>
        </w:rPr>
      </w:pPr>
      <w:r w:rsidRPr="0004157C">
        <w:t xml:space="preserve">Describe how, and on what timeline, the project sponsors </w:t>
      </w:r>
      <w:r w:rsidR="0004157C">
        <w:t>have</w:t>
      </w:r>
      <w:r w:rsidRPr="0004157C">
        <w:t xml:space="preserve"> responded to recommendations by the Pacific Salmon Commission CWT Workgroup (2008).</w:t>
      </w:r>
    </w:p>
    <w:p w:rsidR="006816A6" w:rsidRDefault="006816A6" w:rsidP="008A3DC1">
      <w:pPr>
        <w:rPr>
          <w:color w:val="FF0000"/>
          <w:sz w:val="12"/>
        </w:rPr>
      </w:pPr>
    </w:p>
    <w:p w:rsidR="006816A6" w:rsidRDefault="006816A6" w:rsidP="008A3DC1">
      <w:pPr>
        <w:rPr>
          <w:color w:val="FF0000"/>
          <w:sz w:val="12"/>
        </w:rPr>
      </w:pPr>
    </w:p>
    <w:p w:rsidR="0072110E" w:rsidRDefault="0072110E" w:rsidP="006816A6">
      <w:pPr>
        <w:rPr>
          <w:color w:val="FF0000"/>
          <w:sz w:val="12"/>
        </w:rPr>
      </w:pPr>
    </w:p>
    <w:p w:rsidR="0072110E" w:rsidRPr="0072110E" w:rsidRDefault="0072110E" w:rsidP="006816A6">
      <w:pPr>
        <w:rPr>
          <w:color w:val="FF0000"/>
          <w:sz w:val="12"/>
        </w:rPr>
      </w:pPr>
      <w:bookmarkStart w:id="1" w:name="Tagg"/>
      <w:r w:rsidRPr="0072110E">
        <w:rPr>
          <w:color w:val="FF0000"/>
          <w:sz w:val="12"/>
        </w:rPr>
        <w:t>________________________________________</w:t>
      </w:r>
    </w:p>
    <w:p w:rsidR="0072110E" w:rsidRPr="0072110E" w:rsidRDefault="0072110E" w:rsidP="006816A6">
      <w:pPr>
        <w:rPr>
          <w:color w:val="FF0000"/>
          <w:sz w:val="12"/>
        </w:rPr>
      </w:pPr>
    </w:p>
    <w:p w:rsidR="006816A6" w:rsidRPr="0072110E" w:rsidRDefault="0072110E" w:rsidP="006816A6">
      <w:pPr>
        <w:rPr>
          <w:color w:val="FF0000"/>
          <w:sz w:val="12"/>
        </w:rPr>
      </w:pPr>
      <w:r w:rsidRPr="0072110E">
        <w:rPr>
          <w:color w:val="FF0000"/>
          <w:sz w:val="12"/>
        </w:rPr>
        <w:t>c:\documents and settings\grover\desktop\22feb2011issuepapers\cwt programmatic  issue.docx (Tony Grover)</w:t>
      </w:r>
      <w:bookmarkEnd w:id="1"/>
    </w:p>
    <w:sectPr w:rsidR="006816A6" w:rsidRPr="0072110E" w:rsidSect="009F3237">
      <w:headerReference w:type="default" r:id="rId8"/>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909" w:rsidRDefault="008D0909" w:rsidP="004A46D4">
      <w:r>
        <w:separator/>
      </w:r>
    </w:p>
  </w:endnote>
  <w:endnote w:type="continuationSeparator" w:id="0">
    <w:p w:rsidR="008D0909" w:rsidRDefault="008D0909"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909" w:rsidRDefault="008D0909" w:rsidP="004A46D4">
      <w:r>
        <w:separator/>
      </w:r>
    </w:p>
  </w:footnote>
  <w:footnote w:type="continuationSeparator" w:id="0">
    <w:p w:rsidR="008D0909" w:rsidRDefault="008D0909" w:rsidP="004A46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939" w:rsidRPr="00576EE9" w:rsidRDefault="007607AD" w:rsidP="00576EE9">
    <w:pPr>
      <w:pStyle w:val="Header"/>
      <w:jc w:val="center"/>
      <w:rPr>
        <w:b/>
        <w:sz w:val="18"/>
        <w:szCs w:val="18"/>
      </w:rPr>
    </w:pPr>
    <w:r w:rsidRPr="00576EE9">
      <w:rPr>
        <w:b/>
        <w:sz w:val="18"/>
        <w:szCs w:val="18"/>
      </w:rPr>
      <w:t>Draft 2/2</w:t>
    </w:r>
    <w:r w:rsidR="00306EE5">
      <w:rPr>
        <w:b/>
        <w:sz w:val="18"/>
        <w:szCs w:val="18"/>
      </w:rPr>
      <w:t>2</w:t>
    </w:r>
    <w:r w:rsidRPr="00576EE9">
      <w:rPr>
        <w:b/>
        <w:sz w:val="18"/>
        <w:szCs w:val="18"/>
      </w:rPr>
      <w:t>/2011 – Predecisional and part of deliberative process – For discussion only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40C7"/>
    <w:multiLevelType w:val="hybridMultilevel"/>
    <w:tmpl w:val="ADA4F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27D03"/>
    <w:multiLevelType w:val="hybridMultilevel"/>
    <w:tmpl w:val="4BE27A44"/>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B5607A7"/>
    <w:multiLevelType w:val="hybridMultilevel"/>
    <w:tmpl w:val="86DE9418"/>
    <w:lvl w:ilvl="0" w:tplc="F4A295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002AAD"/>
    <w:multiLevelType w:val="hybridMultilevel"/>
    <w:tmpl w:val="F844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1A2467"/>
    <w:multiLevelType w:val="hybridMultilevel"/>
    <w:tmpl w:val="44109B50"/>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FE2649"/>
    <w:multiLevelType w:val="hybridMultilevel"/>
    <w:tmpl w:val="495CC266"/>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6212DC"/>
    <w:multiLevelType w:val="hybridMultilevel"/>
    <w:tmpl w:val="D15A2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C07A12"/>
    <w:multiLevelType w:val="hybridMultilevel"/>
    <w:tmpl w:val="A9F23ECC"/>
    <w:lvl w:ilvl="0" w:tplc="C83C5FF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2A06C6"/>
    <w:multiLevelType w:val="hybridMultilevel"/>
    <w:tmpl w:val="178C973E"/>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0A697D"/>
    <w:multiLevelType w:val="hybridMultilevel"/>
    <w:tmpl w:val="BA20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321970"/>
    <w:multiLevelType w:val="hybridMultilevel"/>
    <w:tmpl w:val="39922474"/>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107306"/>
    <w:multiLevelType w:val="hybridMultilevel"/>
    <w:tmpl w:val="AC9A2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3"/>
  </w:num>
  <w:num w:numId="4">
    <w:abstractNumId w:val="11"/>
  </w:num>
  <w:num w:numId="5">
    <w:abstractNumId w:val="6"/>
  </w:num>
  <w:num w:numId="6">
    <w:abstractNumId w:val="4"/>
  </w:num>
  <w:num w:numId="7">
    <w:abstractNumId w:val="7"/>
  </w:num>
  <w:num w:numId="8">
    <w:abstractNumId w:val="0"/>
  </w:num>
  <w:num w:numId="9">
    <w:abstractNumId w:val="5"/>
  </w:num>
  <w:num w:numId="10">
    <w:abstractNumId w:val="9"/>
  </w:num>
  <w:num w:numId="11">
    <w:abstractNumId w:val="12"/>
  </w:num>
  <w:num w:numId="12">
    <w:abstractNumId w:val="1"/>
  </w:num>
  <w:num w:numId="13">
    <w:abstractNumId w:val="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12D4C"/>
    <w:rsid w:val="0004157C"/>
    <w:rsid w:val="00047AF6"/>
    <w:rsid w:val="00050AFD"/>
    <w:rsid w:val="000711E0"/>
    <w:rsid w:val="00093333"/>
    <w:rsid w:val="000E6E5C"/>
    <w:rsid w:val="001050C5"/>
    <w:rsid w:val="00113EB7"/>
    <w:rsid w:val="00114D63"/>
    <w:rsid w:val="00160DC9"/>
    <w:rsid w:val="00193995"/>
    <w:rsid w:val="001C2F9B"/>
    <w:rsid w:val="001D38DC"/>
    <w:rsid w:val="001D4B01"/>
    <w:rsid w:val="00201239"/>
    <w:rsid w:val="00203929"/>
    <w:rsid w:val="00205BBA"/>
    <w:rsid w:val="002067FD"/>
    <w:rsid w:val="00230180"/>
    <w:rsid w:val="00262601"/>
    <w:rsid w:val="002628F5"/>
    <w:rsid w:val="002672DF"/>
    <w:rsid w:val="00284EC4"/>
    <w:rsid w:val="002B7E1C"/>
    <w:rsid w:val="002D6028"/>
    <w:rsid w:val="00306EE5"/>
    <w:rsid w:val="00314C4A"/>
    <w:rsid w:val="003522AE"/>
    <w:rsid w:val="00353F30"/>
    <w:rsid w:val="003869E0"/>
    <w:rsid w:val="003C41D4"/>
    <w:rsid w:val="003D4856"/>
    <w:rsid w:val="00400DFD"/>
    <w:rsid w:val="00406A78"/>
    <w:rsid w:val="00412955"/>
    <w:rsid w:val="00415C2B"/>
    <w:rsid w:val="00425D96"/>
    <w:rsid w:val="0043145F"/>
    <w:rsid w:val="004A46D4"/>
    <w:rsid w:val="004F14C2"/>
    <w:rsid w:val="00517247"/>
    <w:rsid w:val="00522A4D"/>
    <w:rsid w:val="0052496A"/>
    <w:rsid w:val="00526511"/>
    <w:rsid w:val="00533CE6"/>
    <w:rsid w:val="005446F4"/>
    <w:rsid w:val="00563D2B"/>
    <w:rsid w:val="005711E2"/>
    <w:rsid w:val="00572FAF"/>
    <w:rsid w:val="00575C41"/>
    <w:rsid w:val="00576EE9"/>
    <w:rsid w:val="005B5D72"/>
    <w:rsid w:val="005D093B"/>
    <w:rsid w:val="005D1EE2"/>
    <w:rsid w:val="005D467A"/>
    <w:rsid w:val="00603EE3"/>
    <w:rsid w:val="00610781"/>
    <w:rsid w:val="006211B6"/>
    <w:rsid w:val="00626575"/>
    <w:rsid w:val="00643FE7"/>
    <w:rsid w:val="00645323"/>
    <w:rsid w:val="0065410A"/>
    <w:rsid w:val="00667485"/>
    <w:rsid w:val="0067730A"/>
    <w:rsid w:val="006816A6"/>
    <w:rsid w:val="006961FE"/>
    <w:rsid w:val="006A4F03"/>
    <w:rsid w:val="006C4552"/>
    <w:rsid w:val="006E3A4F"/>
    <w:rsid w:val="006E5975"/>
    <w:rsid w:val="006F0D6C"/>
    <w:rsid w:val="006F4D25"/>
    <w:rsid w:val="0071159E"/>
    <w:rsid w:val="00715FC7"/>
    <w:rsid w:val="0072110E"/>
    <w:rsid w:val="007607AD"/>
    <w:rsid w:val="00777752"/>
    <w:rsid w:val="00781572"/>
    <w:rsid w:val="00795DBF"/>
    <w:rsid w:val="007A5EAE"/>
    <w:rsid w:val="007D6AA4"/>
    <w:rsid w:val="00815B5A"/>
    <w:rsid w:val="008247F0"/>
    <w:rsid w:val="00856F11"/>
    <w:rsid w:val="00860A2C"/>
    <w:rsid w:val="00861ACD"/>
    <w:rsid w:val="008902E0"/>
    <w:rsid w:val="008A3DC1"/>
    <w:rsid w:val="008A5070"/>
    <w:rsid w:val="008A6339"/>
    <w:rsid w:val="008B5791"/>
    <w:rsid w:val="008B6D73"/>
    <w:rsid w:val="008D0909"/>
    <w:rsid w:val="008D2DF1"/>
    <w:rsid w:val="009256B5"/>
    <w:rsid w:val="00925A1C"/>
    <w:rsid w:val="00951976"/>
    <w:rsid w:val="009634F0"/>
    <w:rsid w:val="009A1AC0"/>
    <w:rsid w:val="009A7451"/>
    <w:rsid w:val="009E4918"/>
    <w:rsid w:val="009F3237"/>
    <w:rsid w:val="00A110E9"/>
    <w:rsid w:val="00A34F38"/>
    <w:rsid w:val="00A52E83"/>
    <w:rsid w:val="00A6250B"/>
    <w:rsid w:val="00A63BC5"/>
    <w:rsid w:val="00A940C7"/>
    <w:rsid w:val="00A9423C"/>
    <w:rsid w:val="00AA1280"/>
    <w:rsid w:val="00AB321A"/>
    <w:rsid w:val="00AD2AF1"/>
    <w:rsid w:val="00AD764B"/>
    <w:rsid w:val="00AE4F56"/>
    <w:rsid w:val="00AF5427"/>
    <w:rsid w:val="00B36733"/>
    <w:rsid w:val="00B3736E"/>
    <w:rsid w:val="00B434EB"/>
    <w:rsid w:val="00B553F3"/>
    <w:rsid w:val="00B67402"/>
    <w:rsid w:val="00B76BBE"/>
    <w:rsid w:val="00B93483"/>
    <w:rsid w:val="00BF1078"/>
    <w:rsid w:val="00C06E10"/>
    <w:rsid w:val="00C61255"/>
    <w:rsid w:val="00CB66EF"/>
    <w:rsid w:val="00CC4C23"/>
    <w:rsid w:val="00CE34E8"/>
    <w:rsid w:val="00CF4F76"/>
    <w:rsid w:val="00D17856"/>
    <w:rsid w:val="00D225BA"/>
    <w:rsid w:val="00D37F3A"/>
    <w:rsid w:val="00D531F5"/>
    <w:rsid w:val="00D73213"/>
    <w:rsid w:val="00DA77AA"/>
    <w:rsid w:val="00DB3987"/>
    <w:rsid w:val="00DC0A41"/>
    <w:rsid w:val="00DC32A1"/>
    <w:rsid w:val="00DC5F4C"/>
    <w:rsid w:val="00DD23CD"/>
    <w:rsid w:val="00DF70A7"/>
    <w:rsid w:val="00E426B7"/>
    <w:rsid w:val="00E672B1"/>
    <w:rsid w:val="00E818F0"/>
    <w:rsid w:val="00E95E49"/>
    <w:rsid w:val="00EB473A"/>
    <w:rsid w:val="00EE2541"/>
    <w:rsid w:val="00EF47F8"/>
    <w:rsid w:val="00F772D1"/>
    <w:rsid w:val="00F8215D"/>
    <w:rsid w:val="00F92E17"/>
    <w:rsid w:val="00F93939"/>
    <w:rsid w:val="00FB1FBD"/>
    <w:rsid w:val="00FB27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940066017">
      <w:bodyDiv w:val="1"/>
      <w:marLeft w:val="0"/>
      <w:marRight w:val="0"/>
      <w:marTop w:val="0"/>
      <w:marBottom w:val="0"/>
      <w:divBdr>
        <w:top w:val="none" w:sz="0" w:space="0" w:color="auto"/>
        <w:left w:val="none" w:sz="0" w:space="0" w:color="auto"/>
        <w:bottom w:val="none" w:sz="0" w:space="0" w:color="auto"/>
        <w:right w:val="none" w:sz="0" w:space="0" w:color="auto"/>
      </w:divBdr>
    </w:div>
    <w:div w:id="969094409">
      <w:bodyDiv w:val="1"/>
      <w:marLeft w:val="0"/>
      <w:marRight w:val="0"/>
      <w:marTop w:val="0"/>
      <w:marBottom w:val="0"/>
      <w:divBdr>
        <w:top w:val="none" w:sz="0" w:space="0" w:color="auto"/>
        <w:left w:val="none" w:sz="0" w:space="0" w:color="auto"/>
        <w:bottom w:val="none" w:sz="0" w:space="0" w:color="auto"/>
        <w:right w:val="none" w:sz="0" w:space="0" w:color="auto"/>
      </w:divBdr>
    </w:div>
    <w:div w:id="1041132382">
      <w:bodyDiv w:val="1"/>
      <w:marLeft w:val="0"/>
      <w:marRight w:val="0"/>
      <w:marTop w:val="0"/>
      <w:marBottom w:val="0"/>
      <w:divBdr>
        <w:top w:val="none" w:sz="0" w:space="0" w:color="auto"/>
        <w:left w:val="none" w:sz="0" w:space="0" w:color="auto"/>
        <w:bottom w:val="none" w:sz="0" w:space="0" w:color="auto"/>
        <w:right w:val="none" w:sz="0" w:space="0" w:color="auto"/>
      </w:divBdr>
    </w:div>
    <w:div w:id="1277444975">
      <w:bodyDiv w:val="1"/>
      <w:marLeft w:val="0"/>
      <w:marRight w:val="0"/>
      <w:marTop w:val="0"/>
      <w:marBottom w:val="0"/>
      <w:divBdr>
        <w:top w:val="none" w:sz="0" w:space="0" w:color="auto"/>
        <w:left w:val="none" w:sz="0" w:space="0" w:color="auto"/>
        <w:bottom w:val="none" w:sz="0" w:space="0" w:color="auto"/>
        <w:right w:val="none" w:sz="0" w:space="0" w:color="auto"/>
      </w:divBdr>
    </w:div>
    <w:div w:id="1845972325">
      <w:bodyDiv w:val="1"/>
      <w:marLeft w:val="0"/>
      <w:marRight w:val="0"/>
      <w:marTop w:val="0"/>
      <w:marBottom w:val="0"/>
      <w:divBdr>
        <w:top w:val="none" w:sz="0" w:space="0" w:color="auto"/>
        <w:left w:val="none" w:sz="0" w:space="0" w:color="auto"/>
        <w:bottom w:val="none" w:sz="0" w:space="0" w:color="auto"/>
        <w:right w:val="none" w:sz="0" w:space="0" w:color="auto"/>
      </w:divBdr>
    </w:div>
    <w:div w:id="199394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tx>
            <c:strRef>
              <c:f>Sheet1!$G$8</c:f>
              <c:strCache>
                <c:ptCount val="1"/>
                <c:pt idx="0">
                  <c:v>Budget</c:v>
                </c:pt>
              </c:strCache>
            </c:strRef>
          </c:tx>
          <c:cat>
            <c:strRef>
              <c:f>Sheet1!$F$9:$F$25</c:f>
              <c:strCache>
                <c:ptCount val="17"/>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strCache>
            </c:strRef>
          </c:cat>
          <c:val>
            <c:numRef>
              <c:f>Sheet1!$G$9:$G$25</c:f>
              <c:numCache>
                <c:formatCode>_([$$-409]* #,##0_);_([$$-409]* \(#,##0\);_([$$-409]* "-"??_);_(@_)</c:formatCode>
                <c:ptCount val="17"/>
                <c:pt idx="0" formatCode="_(&quot;$&quot;* #,##0_);_(&quot;$&quot;* \(#,##0\);_(&quot;$&quot;* &quot;-&quot;??_);_(@_)">
                  <c:v>2397613</c:v>
                </c:pt>
                <c:pt idx="1">
                  <c:v>2685043</c:v>
                </c:pt>
                <c:pt idx="2" formatCode="_(&quot;$&quot;* #,##0_);_(&quot;$&quot;* \(#,##0\);_(&quot;$&quot;* &quot;-&quot;??_);_(@_)">
                  <c:v>2715531</c:v>
                </c:pt>
                <c:pt idx="4" formatCode="_(&quot;$&quot;* #,##0_);_(&quot;$&quot;* \(#,##0\);_(&quot;$&quot;* &quot;-&quot;??_);_(@_)">
                  <c:v>2715531</c:v>
                </c:pt>
                <c:pt idx="5" formatCode="_(&quot;$&quot;* #,##0_);_(&quot;$&quot;* \(#,##0\);_(&quot;$&quot;* &quot;-&quot;??_);_(@_)">
                  <c:v>2715531</c:v>
                </c:pt>
                <c:pt idx="6" formatCode="_(&quot;$&quot;* #,##0_);_(&quot;$&quot;* \(#,##0\);_(&quot;$&quot;* &quot;-&quot;??_);_(@_)">
                  <c:v>2783419</c:v>
                </c:pt>
              </c:numCache>
            </c:numRef>
          </c:val>
        </c:ser>
        <c:ser>
          <c:idx val="1"/>
          <c:order val="1"/>
          <c:tx>
            <c:strRef>
              <c:f>Sheet1!$H$8</c:f>
              <c:strCache>
                <c:ptCount val="1"/>
                <c:pt idx="0">
                  <c:v>Actual</c:v>
                </c:pt>
              </c:strCache>
            </c:strRef>
          </c:tx>
          <c:cat>
            <c:strRef>
              <c:f>Sheet1!$F$9:$F$25</c:f>
              <c:strCache>
                <c:ptCount val="17"/>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strCache>
            </c:strRef>
          </c:cat>
          <c:val>
            <c:numRef>
              <c:f>Sheet1!$H$9:$H$25</c:f>
              <c:numCache>
                <c:formatCode>_([$$-409]* #,##0_);_([$$-409]* \(#,##0\);_([$$-409]* "-"??_);_(@_)</c:formatCode>
                <c:ptCount val="17"/>
                <c:pt idx="0" formatCode="_(&quot;$&quot;* #,##0_);_(&quot;$&quot;* \(#,##0\);_(&quot;$&quot;* &quot;-&quot;??_);_(@_)">
                  <c:v>2555392</c:v>
                </c:pt>
                <c:pt idx="1">
                  <c:v>2650871</c:v>
                </c:pt>
                <c:pt idx="2" formatCode="_(&quot;$&quot;* #,##0_);_(&quot;$&quot;* \(#,##0\);_(&quot;$&quot;* &quot;-&quot;??_);_(@_)">
                  <c:v>2804062</c:v>
                </c:pt>
                <c:pt idx="4" formatCode="_(&quot;$&quot;* #,##0_);_(&quot;$&quot;* \(#,##0\);_(&quot;$&quot;* &quot;-&quot;??_);_(@_)">
                  <c:v>1914049</c:v>
                </c:pt>
                <c:pt idx="5" formatCode="_(&quot;$&quot;* #,##0_);_(&quot;$&quot;* \(#,##0\);_(&quot;$&quot;* &quot;-&quot;??_);_(@_)">
                  <c:v>2919292</c:v>
                </c:pt>
                <c:pt idx="6">
                  <c:v>2783419</c:v>
                </c:pt>
              </c:numCache>
            </c:numRef>
          </c:val>
        </c:ser>
        <c:ser>
          <c:idx val="2"/>
          <c:order val="2"/>
          <c:tx>
            <c:strRef>
              <c:f>Sheet1!$I$8</c:f>
              <c:strCache>
                <c:ptCount val="1"/>
                <c:pt idx="0">
                  <c:v>Request</c:v>
                </c:pt>
              </c:strCache>
            </c:strRef>
          </c:tx>
          <c:cat>
            <c:strRef>
              <c:f>Sheet1!$F$9:$F$25</c:f>
              <c:strCache>
                <c:ptCount val="17"/>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strCache>
            </c:strRef>
          </c:cat>
          <c:val>
            <c:numRef>
              <c:f>Sheet1!$I$9:$I$25</c:f>
              <c:numCache>
                <c:formatCode>General</c:formatCode>
                <c:ptCount val="17"/>
                <c:pt idx="7" formatCode="_(&quot;$&quot;* #,##0_);_(&quot;$&quot;* \(#,##0\);_(&quot;$&quot;* &quot;-&quot;??_);_(@_)">
                  <c:v>2328997</c:v>
                </c:pt>
                <c:pt idx="8" formatCode="_([$$-409]* #,##0_);_([$$-409]* \(#,##0\);_([$$-409]* &quot;-&quot;??_);_(@_)">
                  <c:v>2879711</c:v>
                </c:pt>
                <c:pt idx="9" formatCode="_(&quot;$&quot;* #,##0_);_(&quot;$&quot;* \(#,##0\);_(&quot;$&quot;* &quot;-&quot;??_);_(@_)">
                  <c:v>3021959</c:v>
                </c:pt>
                <c:pt idx="10" formatCode="_(&quot;$&quot;* #,##0_);_(&quot;$&quot;* \(#,##0\);_(&quot;$&quot;* &quot;-&quot;??_);_(@_)">
                  <c:v>3108456</c:v>
                </c:pt>
                <c:pt idx="11" formatCode="_(&quot;$&quot;* #,##0_);_(&quot;$&quot;* \(#,##0\);_(&quot;$&quot;* &quot;-&quot;??_);_(@_)">
                  <c:v>3229590</c:v>
                </c:pt>
                <c:pt idx="12" formatCode="_(&quot;$&quot;* #,##0_);_(&quot;$&quot;* \(#,##0\);_(&quot;$&quot;* &quot;-&quot;??_);_(@_)">
                  <c:v>3385550</c:v>
                </c:pt>
                <c:pt idx="13" formatCode="_(&quot;$&quot;* #,##0_);_(&quot;$&quot;* \(#,##0\);_(&quot;$&quot;* &quot;-&quot;??_);_(@_)">
                  <c:v>3097691</c:v>
                </c:pt>
                <c:pt idx="14" formatCode="_(&quot;$&quot;* #,##0_);_(&quot;$&quot;* \(#,##0\);_(&quot;$&quot;* &quot;-&quot;??_);_(@_)">
                  <c:v>3224174</c:v>
                </c:pt>
                <c:pt idx="15" formatCode="_(&quot;$&quot;* #,##0_);_(&quot;$&quot;* \(#,##0\);_(&quot;$&quot;* &quot;-&quot;??_);_(@_)">
                  <c:v>3385850</c:v>
                </c:pt>
                <c:pt idx="16" formatCode="_(&quot;$&quot;* #,##0_);_(&quot;$&quot;* \(#,##0\);_(&quot;$&quot;* &quot;-&quot;??_);_(@_)">
                  <c:v>3485531</c:v>
                </c:pt>
              </c:numCache>
            </c:numRef>
          </c:val>
        </c:ser>
        <c:marker val="1"/>
        <c:axId val="83414016"/>
        <c:axId val="127210240"/>
      </c:lineChart>
      <c:catAx>
        <c:axId val="83414016"/>
        <c:scaling>
          <c:orientation val="minMax"/>
        </c:scaling>
        <c:axPos val="b"/>
        <c:tickLblPos val="nextTo"/>
        <c:crossAx val="127210240"/>
        <c:crosses val="autoZero"/>
        <c:auto val="1"/>
        <c:lblAlgn val="ctr"/>
        <c:lblOffset val="100"/>
      </c:catAx>
      <c:valAx>
        <c:axId val="127210240"/>
        <c:scaling>
          <c:orientation val="minMax"/>
          <c:min val="1500000"/>
        </c:scaling>
        <c:axPos val="l"/>
        <c:majorGridlines/>
        <c:numFmt formatCode="_(&quot;$&quot;* #,##0_);_(&quot;$&quot;* \(#,##0\);_(&quot;$&quot;* &quot;-&quot;??_);_(@_)" sourceLinked="1"/>
        <c:tickLblPos val="nextTo"/>
        <c:crossAx val="83414016"/>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4</Pages>
  <Words>1196</Words>
  <Characters>6785</Characters>
  <Application>Microsoft Office Word</Application>
  <DocSecurity>0</DocSecurity>
  <Lines>183</Lines>
  <Paragraphs>76</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7905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Palensky</dc:creator>
  <cp:lastModifiedBy>Tony Grover</cp:lastModifiedBy>
  <cp:revision>7</cp:revision>
  <cp:lastPrinted>2011-01-12T22:00:00Z</cp:lastPrinted>
  <dcterms:created xsi:type="dcterms:W3CDTF">2011-02-17T22:24:00Z</dcterms:created>
  <dcterms:modified xsi:type="dcterms:W3CDTF">2011-02-22T22:43:00Z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1057453685</vt:i4>
  </property>
  <property fmtid="{D5CDD505-2E9C-101B-9397-08002B2CF9AE}" pid="4" name="_EmailSubject">
    <vt:lpwstr>For February 25th F&amp;W meeting - Agenda, Topic Papers, List of A &amp; B projects</vt:lpwstr>
  </property>
  <property fmtid="{D5CDD505-2E9C-101B-9397-08002B2CF9AE}" pid="5" name="_AuthorEmail">
    <vt:lpwstr>tgrover@nwcouncil.org</vt:lpwstr>
  </property>
  <property fmtid="{D5CDD505-2E9C-101B-9397-08002B2CF9AE}" pid="6" name="_AuthorEmailDisplayName">
    <vt:lpwstr>Grover, Tony</vt:lpwstr>
  </property>
</Properties>
</file>