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0C" w:rsidRPr="00D2450C" w:rsidRDefault="00D2450C" w:rsidP="00D2450C">
      <w:pPr>
        <w:spacing w:after="0" w:line="240" w:lineRule="auto"/>
        <w:rPr>
          <w:b/>
          <w:sz w:val="24"/>
          <w:szCs w:val="24"/>
          <w:lang w:val="en"/>
        </w:rPr>
      </w:pPr>
      <w:r w:rsidRPr="00F24F56">
        <w:rPr>
          <w:b/>
          <w:sz w:val="24"/>
          <w:szCs w:val="24"/>
          <w:lang w:val="en"/>
        </w:rPr>
        <w:t xml:space="preserve">Proposed RTF Measure:  </w:t>
      </w:r>
      <w:r w:rsidRPr="00D2450C">
        <w:rPr>
          <w:b/>
          <w:sz w:val="24"/>
          <w:szCs w:val="24"/>
          <w:lang w:val="en"/>
        </w:rPr>
        <w:t>Refrigerated Display Case Calculator</w:t>
      </w:r>
    </w:p>
    <w:p w:rsidR="00D2450C" w:rsidRDefault="00D2450C" w:rsidP="008F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8F5EB9" w:rsidRPr="008F5EB9" w:rsidRDefault="008F5EB9" w:rsidP="008F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1. </w:t>
      </w:r>
      <w:r w:rsidRPr="008F5EB9">
        <w:rPr>
          <w:rFonts w:ascii="Times New Roman" w:eastAsia="Times New Roman" w:hAnsi="Times New Roman" w:cs="Times New Roman"/>
          <w:sz w:val="24"/>
          <w:szCs w:val="24"/>
          <w:lang w:val="en"/>
        </w:rPr>
        <w:t>Proposed measure type: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(UES Measure or Standard Protocol)</w:t>
      </w:r>
      <w:r w:rsidRPr="008F5EB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8F5EB9" w:rsidRDefault="00ED68CD" w:rsidP="008F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Standard Protocol</w:t>
      </w:r>
    </w:p>
    <w:p w:rsidR="008F5EB9" w:rsidRDefault="008F5EB9" w:rsidP="008F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8F5EB9" w:rsidRDefault="008F5EB9" w:rsidP="008F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2. Title: </w:t>
      </w:r>
    </w:p>
    <w:p w:rsidR="008F5EB9" w:rsidRPr="00C71BE2" w:rsidRDefault="00ED68CD" w:rsidP="008F5E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C71BE2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Refrigerated Display Case </w:t>
      </w:r>
      <w:r w:rsidR="00EC5513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Replacement</w:t>
      </w:r>
    </w:p>
    <w:p w:rsidR="008F5EB9" w:rsidRPr="008F5EB9" w:rsidRDefault="008F5EB9" w:rsidP="008F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8F5EB9" w:rsidRPr="008F5EB9" w:rsidRDefault="008F5EB9" w:rsidP="008F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3.  </w:t>
      </w:r>
      <w:r w:rsidRPr="008F5EB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Proposed category: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(Planning, Proven or Small Saver)</w:t>
      </w:r>
    </w:p>
    <w:p w:rsidR="008F5EB9" w:rsidRDefault="00EC5513" w:rsidP="008F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Planning</w:t>
      </w:r>
    </w:p>
    <w:p w:rsidR="008F5EB9" w:rsidRPr="008F5EB9" w:rsidRDefault="008F5EB9" w:rsidP="008F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8F5EB9" w:rsidRDefault="008F5EB9" w:rsidP="008F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4. </w:t>
      </w:r>
      <w:r w:rsidRPr="008F5EB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Description: </w:t>
      </w:r>
    </w:p>
    <w:p w:rsidR="004A6D34" w:rsidRDefault="00EC5513" w:rsidP="004A6D34">
      <w:pPr>
        <w:rPr>
          <w:lang w:val="en"/>
        </w:rPr>
      </w:pPr>
      <w:r>
        <w:rPr>
          <w:lang w:val="en"/>
        </w:rPr>
        <w:t xml:space="preserve">We propose a UES measure </w:t>
      </w:r>
      <w:r w:rsidR="004A6D34">
        <w:rPr>
          <w:lang w:val="en"/>
        </w:rPr>
        <w:t xml:space="preserve">that will </w:t>
      </w:r>
      <w:r>
        <w:rPr>
          <w:lang w:val="en"/>
        </w:rPr>
        <w:t xml:space="preserve">account for the following </w:t>
      </w:r>
      <w:r w:rsidR="005A000C">
        <w:rPr>
          <w:lang w:val="en"/>
        </w:rPr>
        <w:t>several measures</w:t>
      </w:r>
      <w:r w:rsidR="00E742D6">
        <w:rPr>
          <w:lang w:val="en"/>
        </w:rPr>
        <w:t>, including:</w:t>
      </w:r>
    </w:p>
    <w:p w:rsidR="004A6D34" w:rsidRPr="004A6D34" w:rsidRDefault="00E742D6" w:rsidP="004A6D34">
      <w:pPr>
        <w:pStyle w:val="ListParagraph"/>
        <w:numPr>
          <w:ilvl w:val="0"/>
          <w:numId w:val="2"/>
        </w:numPr>
        <w:rPr>
          <w:lang w:val="en"/>
        </w:rPr>
      </w:pPr>
      <w:r>
        <w:rPr>
          <w:lang w:val="en"/>
        </w:rPr>
        <w:t>Fan m</w:t>
      </w:r>
      <w:r w:rsidR="004A6D34" w:rsidRPr="004A6D34">
        <w:rPr>
          <w:lang w:val="en"/>
        </w:rPr>
        <w:t xml:space="preserve">otor retrofits:  ECM or PMSM </w:t>
      </w:r>
      <w:r w:rsidR="00361B3F">
        <w:rPr>
          <w:lang w:val="en"/>
        </w:rPr>
        <w:t>fan motor retrofits</w:t>
      </w:r>
      <w:r w:rsidR="00345B3F">
        <w:rPr>
          <w:lang w:val="en"/>
        </w:rPr>
        <w:t xml:space="preserve"> and VSD condenser fan control</w:t>
      </w:r>
    </w:p>
    <w:p w:rsidR="004A6D34" w:rsidRPr="004A6D34" w:rsidRDefault="004A6D34" w:rsidP="004A6D34">
      <w:pPr>
        <w:pStyle w:val="ListParagraph"/>
        <w:numPr>
          <w:ilvl w:val="0"/>
          <w:numId w:val="2"/>
        </w:numPr>
        <w:rPr>
          <w:lang w:val="en"/>
        </w:rPr>
      </w:pPr>
      <w:r w:rsidRPr="004A6D34">
        <w:rPr>
          <w:lang w:val="en"/>
        </w:rPr>
        <w:t xml:space="preserve">LED </w:t>
      </w:r>
      <w:r w:rsidR="005A000C" w:rsidRPr="004A6D34">
        <w:rPr>
          <w:lang w:val="en"/>
        </w:rPr>
        <w:t xml:space="preserve">lighting  </w:t>
      </w:r>
    </w:p>
    <w:p w:rsidR="004A6D34" w:rsidRPr="004A6D34" w:rsidRDefault="004A6D34" w:rsidP="004A6D34">
      <w:pPr>
        <w:pStyle w:val="ListParagraph"/>
        <w:numPr>
          <w:ilvl w:val="0"/>
          <w:numId w:val="2"/>
        </w:numPr>
        <w:rPr>
          <w:lang w:val="en"/>
        </w:rPr>
      </w:pPr>
      <w:r w:rsidRPr="004A6D34">
        <w:rPr>
          <w:lang w:val="en"/>
        </w:rPr>
        <w:t xml:space="preserve">Controls:  lighting motion sensors, ASH </w:t>
      </w:r>
      <w:r w:rsidR="00345B3F">
        <w:rPr>
          <w:lang w:val="en"/>
        </w:rPr>
        <w:t>controls, on-demand defrost</w:t>
      </w:r>
      <w:r w:rsidR="00816BA3">
        <w:rPr>
          <w:lang w:val="en"/>
        </w:rPr>
        <w:t>, floating controls</w:t>
      </w:r>
    </w:p>
    <w:p w:rsidR="004A37CE" w:rsidRDefault="004A6D34" w:rsidP="004A6D34">
      <w:pPr>
        <w:pStyle w:val="ListParagraph"/>
        <w:numPr>
          <w:ilvl w:val="0"/>
          <w:numId w:val="2"/>
        </w:numPr>
        <w:rPr>
          <w:lang w:val="en"/>
        </w:rPr>
      </w:pPr>
      <w:r w:rsidRPr="004A6D34">
        <w:rPr>
          <w:lang w:val="en"/>
        </w:rPr>
        <w:t xml:space="preserve">Door retrofits: </w:t>
      </w:r>
      <w:r>
        <w:rPr>
          <w:lang w:val="en"/>
        </w:rPr>
        <w:t xml:space="preserve">replace existing doors with </w:t>
      </w:r>
      <w:r w:rsidR="005A000C" w:rsidRPr="004A6D34">
        <w:rPr>
          <w:lang w:val="en"/>
        </w:rPr>
        <w:t xml:space="preserve">high performance </w:t>
      </w:r>
      <w:r w:rsidRPr="004A6D34">
        <w:rPr>
          <w:lang w:val="en"/>
        </w:rPr>
        <w:t>doors</w:t>
      </w:r>
      <w:r>
        <w:rPr>
          <w:lang w:val="en"/>
        </w:rPr>
        <w:t xml:space="preserve"> and</w:t>
      </w:r>
      <w:r w:rsidR="005A000C" w:rsidRPr="004A6D34">
        <w:rPr>
          <w:lang w:val="en"/>
        </w:rPr>
        <w:t xml:space="preserve"> adding doors to open cases.</w:t>
      </w:r>
    </w:p>
    <w:p w:rsidR="00345B3F" w:rsidRPr="004A6D34" w:rsidRDefault="00345B3F" w:rsidP="00345B3F">
      <w:pPr>
        <w:pStyle w:val="ListParagraph"/>
        <w:numPr>
          <w:ilvl w:val="0"/>
          <w:numId w:val="2"/>
        </w:numPr>
        <w:rPr>
          <w:lang w:val="en"/>
        </w:rPr>
      </w:pPr>
      <w:r>
        <w:rPr>
          <w:lang w:val="en"/>
        </w:rPr>
        <w:t>Night curtains</w:t>
      </w:r>
    </w:p>
    <w:p w:rsidR="00345B3F" w:rsidRPr="00345B3F" w:rsidRDefault="004A6D34" w:rsidP="00345B3F">
      <w:pPr>
        <w:pStyle w:val="ListParagraph"/>
        <w:numPr>
          <w:ilvl w:val="0"/>
          <w:numId w:val="2"/>
        </w:numPr>
        <w:rPr>
          <w:lang w:val="en"/>
        </w:rPr>
      </w:pPr>
      <w:r w:rsidRPr="00345B3F">
        <w:rPr>
          <w:lang w:val="en"/>
        </w:rPr>
        <w:t>Case change outs:  Replace</w:t>
      </w:r>
      <w:r w:rsidR="00345B3F" w:rsidRPr="00345B3F">
        <w:rPr>
          <w:lang w:val="en"/>
        </w:rPr>
        <w:t xml:space="preserve"> open </w:t>
      </w:r>
      <w:r w:rsidR="00C14333">
        <w:rPr>
          <w:lang w:val="en"/>
        </w:rPr>
        <w:t xml:space="preserve">existing </w:t>
      </w:r>
      <w:r w:rsidR="00345B3F" w:rsidRPr="00345B3F">
        <w:rPr>
          <w:lang w:val="en"/>
        </w:rPr>
        <w:t>cases with new</w:t>
      </w:r>
      <w:r w:rsidRPr="00345B3F">
        <w:rPr>
          <w:lang w:val="en"/>
        </w:rPr>
        <w:t xml:space="preserve"> closed cases</w:t>
      </w:r>
      <w:r w:rsidR="00345B3F" w:rsidRPr="00345B3F">
        <w:rPr>
          <w:lang w:val="en"/>
        </w:rPr>
        <w:t xml:space="preserve">, including high efficiency DX cases and </w:t>
      </w:r>
      <w:r w:rsidR="00205B3E" w:rsidRPr="00345B3F">
        <w:rPr>
          <w:lang w:val="en"/>
        </w:rPr>
        <w:t>propane cases</w:t>
      </w:r>
    </w:p>
    <w:p w:rsidR="00345B3F" w:rsidRDefault="00345B3F" w:rsidP="004A6D34">
      <w:pPr>
        <w:pStyle w:val="ListParagraph"/>
        <w:numPr>
          <w:ilvl w:val="0"/>
          <w:numId w:val="2"/>
        </w:numPr>
        <w:rPr>
          <w:lang w:val="en"/>
        </w:rPr>
      </w:pPr>
      <w:r>
        <w:rPr>
          <w:lang w:val="en"/>
        </w:rPr>
        <w:t>High efficiency compressors</w:t>
      </w:r>
    </w:p>
    <w:p w:rsidR="00345B3F" w:rsidRDefault="00345B3F" w:rsidP="004A6D34">
      <w:pPr>
        <w:pStyle w:val="ListParagraph"/>
        <w:numPr>
          <w:ilvl w:val="0"/>
          <w:numId w:val="2"/>
        </w:numPr>
        <w:rPr>
          <w:lang w:val="en"/>
        </w:rPr>
      </w:pPr>
      <w:r>
        <w:rPr>
          <w:lang w:val="en"/>
        </w:rPr>
        <w:t>High efficiency condensers, including microchannel coils and oversized-condensers</w:t>
      </w:r>
    </w:p>
    <w:p w:rsidR="005A000C" w:rsidRDefault="00C14333" w:rsidP="002539E9">
      <w:pPr>
        <w:spacing w:after="0" w:line="240" w:lineRule="auto"/>
        <w:rPr>
          <w:lang w:val="en"/>
        </w:rPr>
      </w:pPr>
      <w:r w:rsidRPr="00C14333">
        <w:rPr>
          <w:b/>
          <w:lang w:val="en"/>
        </w:rPr>
        <w:t>Why This Is Important:</w:t>
      </w:r>
      <w:r>
        <w:rPr>
          <w:lang w:val="en"/>
        </w:rPr>
        <w:t xml:space="preserve"> </w:t>
      </w:r>
      <w:r w:rsidR="00EC5513">
        <w:rPr>
          <w:lang w:val="en"/>
        </w:rPr>
        <w:t xml:space="preserve">Replacing display cases with a  UES measure is challenging because there is enough variety in the base case and proposed case, some may already have energy </w:t>
      </w:r>
      <w:proofErr w:type="spellStart"/>
      <w:r w:rsidR="00EC5513">
        <w:rPr>
          <w:lang w:val="en"/>
        </w:rPr>
        <w:t>cosnervation</w:t>
      </w:r>
      <w:proofErr w:type="spellEnd"/>
      <w:r w:rsidR="00EC5513">
        <w:rPr>
          <w:lang w:val="en"/>
        </w:rPr>
        <w:t xml:space="preserve"> measures included that are at the sub case level.  </w:t>
      </w:r>
      <w:r w:rsidR="005A000C">
        <w:rPr>
          <w:lang w:val="en"/>
        </w:rPr>
        <w:t xml:space="preserve">Energy savings </w:t>
      </w:r>
      <w:r>
        <w:rPr>
          <w:lang w:val="en"/>
        </w:rPr>
        <w:t xml:space="preserve">of each measure </w:t>
      </w:r>
      <w:r w:rsidR="005A000C">
        <w:rPr>
          <w:lang w:val="en"/>
        </w:rPr>
        <w:t>depends on measures already installed at the site and the order of implementation</w:t>
      </w:r>
      <w:r>
        <w:rPr>
          <w:lang w:val="en"/>
        </w:rPr>
        <w:t>.  Grocery stores typically will have some subset of thes</w:t>
      </w:r>
      <w:r w:rsidR="00B61989">
        <w:rPr>
          <w:lang w:val="en"/>
        </w:rPr>
        <w:t>e measures already installed.</w:t>
      </w:r>
      <w:r>
        <w:rPr>
          <w:lang w:val="en"/>
        </w:rPr>
        <w:t xml:space="preserve">  These site-specific differences are not captured by UES savings.  </w:t>
      </w:r>
    </w:p>
    <w:p w:rsidR="00E742D6" w:rsidRDefault="00E742D6" w:rsidP="002539E9">
      <w:pPr>
        <w:spacing w:after="0" w:line="240" w:lineRule="auto"/>
        <w:rPr>
          <w:lang w:val="en"/>
        </w:rPr>
      </w:pPr>
    </w:p>
    <w:p w:rsidR="00E742D6" w:rsidRDefault="00DE7CBE" w:rsidP="002539E9">
      <w:pPr>
        <w:spacing w:after="0" w:line="240" w:lineRule="auto"/>
        <w:rPr>
          <w:lang w:val="en"/>
        </w:rPr>
      </w:pPr>
      <w:r>
        <w:rPr>
          <w:lang w:val="en"/>
        </w:rPr>
        <w:t>Uptake of several of the</w:t>
      </w:r>
      <w:r w:rsidR="00C14333">
        <w:rPr>
          <w:lang w:val="en"/>
        </w:rPr>
        <w:t xml:space="preserve"> measures </w:t>
      </w:r>
      <w:r>
        <w:rPr>
          <w:lang w:val="en"/>
        </w:rPr>
        <w:t>currently offered by the RTF as UES measures has not been high</w:t>
      </w:r>
      <w:r w:rsidR="00C14333">
        <w:rPr>
          <w:lang w:val="en"/>
        </w:rPr>
        <w:t xml:space="preserve">.  </w:t>
      </w:r>
      <w:r>
        <w:rPr>
          <w:lang w:val="en"/>
        </w:rPr>
        <w:t>Offering grocery</w:t>
      </w:r>
      <w:r w:rsidR="00EC5513">
        <w:rPr>
          <w:lang w:val="en"/>
        </w:rPr>
        <w:t xml:space="preserve"> display case </w:t>
      </w:r>
      <w:r>
        <w:rPr>
          <w:lang w:val="en"/>
        </w:rPr>
        <w:t xml:space="preserve">measures as a “one-stop” suite of measures will improve visibility and awareness of the many measures that are possible, hopefully improving uptake.  </w:t>
      </w:r>
    </w:p>
    <w:p w:rsidR="00497A17" w:rsidRDefault="00497A17" w:rsidP="002539E9">
      <w:pPr>
        <w:spacing w:after="0" w:line="240" w:lineRule="auto"/>
        <w:rPr>
          <w:lang w:val="en"/>
        </w:rPr>
      </w:pPr>
    </w:p>
    <w:p w:rsidR="00B61989" w:rsidRDefault="00B61989" w:rsidP="002539E9">
      <w:pPr>
        <w:spacing w:after="0" w:line="240" w:lineRule="auto"/>
        <w:rPr>
          <w:lang w:val="en"/>
        </w:rPr>
      </w:pPr>
      <w:r>
        <w:rPr>
          <w:lang w:val="en"/>
        </w:rPr>
        <w:t xml:space="preserve">Programmatically, using the same methodology region-wide </w:t>
      </w:r>
      <w:r w:rsidR="00E742D6">
        <w:rPr>
          <w:lang w:val="en"/>
        </w:rPr>
        <w:t xml:space="preserve">for analyzing </w:t>
      </w:r>
      <w:r>
        <w:rPr>
          <w:lang w:val="en"/>
        </w:rPr>
        <w:t xml:space="preserve">grocery store measures, properly accounting for measure interactions and measures already installed, will more accurately quantify captured </w:t>
      </w:r>
      <w:r w:rsidR="0087257D">
        <w:rPr>
          <w:lang w:val="en"/>
        </w:rPr>
        <w:t xml:space="preserve">savings </w:t>
      </w:r>
      <w:r>
        <w:rPr>
          <w:lang w:val="en"/>
        </w:rPr>
        <w:t>as measures are implemented.</w:t>
      </w:r>
    </w:p>
    <w:p w:rsidR="00E742D6" w:rsidRDefault="00E742D6" w:rsidP="002539E9">
      <w:pPr>
        <w:spacing w:after="0" w:line="240" w:lineRule="auto"/>
        <w:rPr>
          <w:lang w:val="en"/>
        </w:rPr>
      </w:pPr>
    </w:p>
    <w:p w:rsidR="00AE3128" w:rsidRPr="00AE3128" w:rsidRDefault="00C14333" w:rsidP="002539E9">
      <w:pPr>
        <w:spacing w:after="0" w:line="240" w:lineRule="auto"/>
      </w:pPr>
      <w:r w:rsidRPr="00C14333">
        <w:rPr>
          <w:b/>
        </w:rPr>
        <w:t>Potential Energy Savings</w:t>
      </w:r>
      <w:r w:rsidR="00AE3128" w:rsidRPr="00C14333">
        <w:rPr>
          <w:b/>
        </w:rPr>
        <w:t>:</w:t>
      </w:r>
      <w:r w:rsidR="00AE3128" w:rsidRPr="00C14333">
        <w:t xml:space="preserve">   </w:t>
      </w:r>
      <w:r w:rsidR="00B61989">
        <w:t xml:space="preserve">The potential savings of this calculator </w:t>
      </w:r>
      <w:r w:rsidR="00DE7CBE">
        <w:t>can be illustrated</w:t>
      </w:r>
      <w:r w:rsidR="00B61989">
        <w:t xml:space="preserve"> by looking at</w:t>
      </w:r>
      <w:r>
        <w:t xml:space="preserve"> case change outs.  </w:t>
      </w:r>
      <w:r w:rsidR="00DE7CBE">
        <w:t xml:space="preserve">Consider the example of an existing standard-efficiency, </w:t>
      </w:r>
      <w:r w:rsidR="008A1D3B">
        <w:t xml:space="preserve">medium temperature </w:t>
      </w:r>
      <w:r w:rsidR="00DE7CBE">
        <w:t>vertical open case with shaded-pole</w:t>
      </w:r>
      <w:r>
        <w:t xml:space="preserve"> </w:t>
      </w:r>
      <w:r w:rsidR="00DE7CBE">
        <w:t xml:space="preserve">evaporator </w:t>
      </w:r>
      <w:r>
        <w:t>motors</w:t>
      </w:r>
      <w:r w:rsidR="00DE7CBE">
        <w:t xml:space="preserve"> and T8 lighting</w:t>
      </w:r>
      <w:r w:rsidR="008747C5">
        <w:t xml:space="preserve"> on a remote system</w:t>
      </w:r>
      <w:r w:rsidR="00DE7CBE">
        <w:t>.  Replacing this</w:t>
      </w:r>
      <w:r>
        <w:t xml:space="preserve"> </w:t>
      </w:r>
      <w:r w:rsidR="00DE7CBE">
        <w:t xml:space="preserve">case with a new vertical closed case with ECM motors, LED lighting with motion controls, </w:t>
      </w:r>
      <w:r w:rsidR="008747C5">
        <w:t xml:space="preserve">and </w:t>
      </w:r>
      <w:r w:rsidR="005A041B">
        <w:t xml:space="preserve">high performance </w:t>
      </w:r>
      <w:r w:rsidR="008747C5">
        <w:t>transparent door</w:t>
      </w:r>
      <w:r w:rsidR="002539E9">
        <w:t>s</w:t>
      </w:r>
      <w:r w:rsidR="005A041B">
        <w:t xml:space="preserve"> saves </w:t>
      </w:r>
      <w:r w:rsidR="008747C5">
        <w:t>1,582 kWh/year</w:t>
      </w:r>
      <w:r w:rsidR="005A041B">
        <w:t xml:space="preserve"> per linear </w:t>
      </w:r>
      <w:r w:rsidR="008747C5">
        <w:t>foot of case, which is 90</w:t>
      </w:r>
      <w:r w:rsidR="005A041B">
        <w:t>% of the baseline</w:t>
      </w:r>
      <w:r w:rsidR="008747C5">
        <w:t xml:space="preserve"> </w:t>
      </w:r>
      <w:r w:rsidR="00A74032">
        <w:t xml:space="preserve">case’s </w:t>
      </w:r>
      <w:r w:rsidR="008747C5">
        <w:t>energy use</w:t>
      </w:r>
      <w:r w:rsidR="00B61989">
        <w:t xml:space="preserve"> (USDOE 2013)</w:t>
      </w:r>
      <w:r w:rsidR="00343949">
        <w:t>.  For a typical large grocery stor</w:t>
      </w:r>
      <w:r w:rsidR="008A1D3B">
        <w:t>e with about a quarter</w:t>
      </w:r>
      <w:r w:rsidR="00343949">
        <w:t xml:space="preserve"> of its </w:t>
      </w:r>
      <w:r w:rsidR="00343949">
        <w:lastRenderedPageBreak/>
        <w:t xml:space="preserve">cases being </w:t>
      </w:r>
      <w:r w:rsidR="00A74032">
        <w:t>medium-</w:t>
      </w:r>
      <w:r w:rsidR="008A1D3B">
        <w:t xml:space="preserve">temperature </w:t>
      </w:r>
      <w:r w:rsidR="00343949">
        <w:t>vertical open cases</w:t>
      </w:r>
      <w:r w:rsidR="008A1D3B">
        <w:t xml:space="preserve"> by length</w:t>
      </w:r>
      <w:r w:rsidR="00343949">
        <w:t>, t</w:t>
      </w:r>
      <w:r w:rsidR="008A1D3B">
        <w:t>his represents 20% savings of</w:t>
      </w:r>
      <w:r w:rsidR="005A041B">
        <w:t xml:space="preserve"> </w:t>
      </w:r>
      <w:r w:rsidR="00343949">
        <w:t xml:space="preserve">the energy use of </w:t>
      </w:r>
      <w:r w:rsidR="008A1D3B">
        <w:t xml:space="preserve">all </w:t>
      </w:r>
      <w:r w:rsidR="00343949">
        <w:t>its display c</w:t>
      </w:r>
      <w:r w:rsidR="00A74032">
        <w:t>ases</w:t>
      </w:r>
      <w:r w:rsidR="005A041B">
        <w:t>.</w:t>
      </w:r>
      <w:r w:rsidR="00B61989">
        <w:t xml:space="preserve">  </w:t>
      </w:r>
    </w:p>
    <w:p w:rsidR="00E742D6" w:rsidRDefault="00E742D6" w:rsidP="00E742D6">
      <w:pPr>
        <w:keepNext/>
        <w:keepLines/>
        <w:spacing w:after="0" w:line="240" w:lineRule="auto"/>
        <w:rPr>
          <w:b/>
        </w:rPr>
      </w:pPr>
    </w:p>
    <w:p w:rsidR="00205B3E" w:rsidRDefault="00205B3E" w:rsidP="00E742D6">
      <w:pPr>
        <w:keepNext/>
        <w:keepLines/>
        <w:spacing w:after="0" w:line="240" w:lineRule="auto"/>
      </w:pPr>
      <w:r>
        <w:rPr>
          <w:b/>
        </w:rPr>
        <w:t>Calculations</w:t>
      </w:r>
      <w:r w:rsidR="005A041B">
        <w:rPr>
          <w:b/>
        </w:rPr>
        <w:t xml:space="preserve">:   </w:t>
      </w:r>
      <w:r>
        <w:t xml:space="preserve">We suggest the </w:t>
      </w:r>
      <w:r w:rsidR="00497A17">
        <w:t>UES measure</w:t>
      </w:r>
      <w:r>
        <w:t xml:space="preserve"> be based on the methodology summarized in USDOE’s Technical Support Documentation for the 2017 federal efficiency standards for appliances (USDOE 2013), supplemented by references such as </w:t>
      </w:r>
      <w:r w:rsidR="00345B3F">
        <w:t>Arias (2005) and Thornton (1991)</w:t>
      </w:r>
      <w:r>
        <w:t>.</w:t>
      </w:r>
      <w:r w:rsidR="00345B3F">
        <w:t xml:space="preserve">  </w:t>
      </w:r>
      <w:r>
        <w:t>NREL’s Refrigeration Playbook hourly Excel-based calculator is unprotected and open source.  This spreadsheet makes a good starting point</w:t>
      </w:r>
      <w:r w:rsidR="00345B3F">
        <w:t xml:space="preserve"> for a </w:t>
      </w:r>
      <w:r w:rsidR="00170614">
        <w:t xml:space="preserve">refrigeration </w:t>
      </w:r>
      <w:r w:rsidR="00345B3F">
        <w:t>calculation engine</w:t>
      </w:r>
      <w:r w:rsidR="00170614">
        <w:t>.</w:t>
      </w:r>
    </w:p>
    <w:p w:rsidR="005A041B" w:rsidRDefault="005A041B" w:rsidP="00205B3E">
      <w:pPr>
        <w:keepNext/>
        <w:keepLines/>
        <w:spacing w:after="0" w:line="240" w:lineRule="auto"/>
      </w:pPr>
    </w:p>
    <w:p w:rsidR="005A041B" w:rsidRDefault="005A041B" w:rsidP="005A041B">
      <w:pPr>
        <w:spacing w:after="0" w:line="240" w:lineRule="auto"/>
      </w:pPr>
      <w:r>
        <w:rPr>
          <w:b/>
        </w:rPr>
        <w:t xml:space="preserve">Preliminary </w:t>
      </w:r>
      <w:r w:rsidRPr="00BC28D0">
        <w:rPr>
          <w:b/>
        </w:rPr>
        <w:t>Technical Potential:</w:t>
      </w:r>
      <w:r>
        <w:t xml:space="preserve">  Technical</w:t>
      </w:r>
      <w:r w:rsidR="0046163A">
        <w:t xml:space="preserve"> potential is estimated to be </w:t>
      </w:r>
      <w:r w:rsidR="00497A17">
        <w:t>30</w:t>
      </w:r>
      <w:r>
        <w:t xml:space="preserve"> </w:t>
      </w:r>
      <w:proofErr w:type="spellStart"/>
      <w:r>
        <w:t>aMW</w:t>
      </w:r>
      <w:proofErr w:type="spellEnd"/>
      <w:r>
        <w:t xml:space="preserve">.  This was developed with the assistance of Council staff by estimating savings for three prototypical stores (small, large, big box) </w:t>
      </w:r>
      <w:r w:rsidR="00FE6CAA">
        <w:t xml:space="preserve">based on </w:t>
      </w:r>
      <w:r>
        <w:t>PG&amp;E (2011).  These values were projected regionally using data from the CBSA (NEEA 2014) and discounted considering achievability, applicability, measure saturation and measure overlap.</w:t>
      </w:r>
    </w:p>
    <w:p w:rsidR="00205B3E" w:rsidRDefault="00205B3E" w:rsidP="008F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0" w:name="_GoBack"/>
      <w:bookmarkEnd w:id="0"/>
    </w:p>
    <w:p w:rsidR="00205B3E" w:rsidRPr="00BF740B" w:rsidRDefault="00205B3E" w:rsidP="00205B3E">
      <w:pPr>
        <w:spacing w:after="0" w:line="240" w:lineRule="auto"/>
        <w:rPr>
          <w:b/>
        </w:rPr>
      </w:pPr>
      <w:r w:rsidRPr="00BF740B">
        <w:rPr>
          <w:b/>
        </w:rPr>
        <w:t>References:</w:t>
      </w:r>
    </w:p>
    <w:p w:rsidR="00205B3E" w:rsidRDefault="00205B3E" w:rsidP="00205B3E">
      <w:pPr>
        <w:pStyle w:val="Bibliography"/>
        <w:ind w:left="720" w:hanging="720"/>
        <w:rPr>
          <w:rStyle w:val="Hyperlink"/>
        </w:rPr>
      </w:pPr>
      <w:r>
        <w:rPr>
          <w:noProof/>
        </w:rPr>
        <w:t xml:space="preserve">Arias, Jaime, “Energy Usage in Supermarkets – Modelling and Field Measurements”, Division of Applied Thermodynamics and Refrigeration, Department of Energy Technology, Royal Institute of Technology, 2005, </w:t>
      </w:r>
      <w:hyperlink r:id="rId6" w:history="1">
        <w:r>
          <w:rPr>
            <w:rStyle w:val="Hyperlink"/>
          </w:rPr>
          <w:t>https://www.kth.se/polopoly_fs/1.301522.1550154794!/Menu/general/column-content/attachment/PhD%20Thesis-Jaime%20Arias.pdf</w:t>
        </w:r>
      </w:hyperlink>
    </w:p>
    <w:p w:rsidR="00FE6CAA" w:rsidRDefault="00FE6CAA" w:rsidP="00FE6CAA">
      <w:pPr>
        <w:pStyle w:val="Bibliography"/>
        <w:ind w:left="720" w:hanging="720"/>
        <w:rPr>
          <w:noProof/>
        </w:rPr>
      </w:pPr>
      <w:r>
        <w:rPr>
          <w:noProof/>
        </w:rPr>
        <w:t xml:space="preserve">NEEA. Northwest Energy Efficiency Alliance, </w:t>
      </w:r>
      <w:r>
        <w:rPr>
          <w:i/>
          <w:iCs/>
          <w:noProof/>
        </w:rPr>
        <w:t>2014 Commercial Building Stock Assessment: Appendix A / Building Characteristic Summary Tables.</w:t>
      </w:r>
      <w:r>
        <w:rPr>
          <w:noProof/>
        </w:rPr>
        <w:t xml:space="preserve"> December 2014. </w:t>
      </w:r>
      <w:hyperlink r:id="rId7" w:history="1">
        <w:r w:rsidRPr="00EA0F04">
          <w:rPr>
            <w:rStyle w:val="Hyperlink"/>
            <w:noProof/>
          </w:rPr>
          <w:t>https://neea.org/img/documents/appendix-a-2014-cbsa-building-characteristic-summary-tables-2014-12-5.pdf</w:t>
        </w:r>
      </w:hyperlink>
    </w:p>
    <w:p w:rsidR="00FE6CAA" w:rsidRDefault="00FE6CAA" w:rsidP="00FE6CAA">
      <w:pPr>
        <w:pStyle w:val="Bibliography"/>
        <w:ind w:left="720" w:hanging="720"/>
        <w:rPr>
          <w:noProof/>
        </w:rPr>
      </w:pPr>
      <w:r>
        <w:rPr>
          <w:noProof/>
        </w:rPr>
        <w:t xml:space="preserve">PG&amp;E. </w:t>
      </w:r>
      <w:r>
        <w:rPr>
          <w:i/>
          <w:iCs/>
          <w:noProof/>
        </w:rPr>
        <w:t>Supermarket Refrigeration Codes and Standards Enhancement Initiative (CASE).</w:t>
      </w:r>
      <w:r>
        <w:rPr>
          <w:noProof/>
        </w:rPr>
        <w:t xml:space="preserve"> technical support document, California Air Resources Board, 2013 California Building Energy Efficiency Standards, 2011, </w:t>
      </w:r>
      <w:hyperlink r:id="rId8" w:history="1">
        <w:r>
          <w:rPr>
            <w:rStyle w:val="Hyperlink"/>
          </w:rPr>
          <w:t>https://ww3.arb.ca.gov/cc/commref/supermarket%202013%20nr15%20case%20report%20draft%2017mar11.pdf</w:t>
        </w:r>
      </w:hyperlink>
    </w:p>
    <w:p w:rsidR="00205B3E" w:rsidRDefault="00205B3E" w:rsidP="00205B3E">
      <w:pPr>
        <w:pStyle w:val="Bibliography"/>
        <w:ind w:left="720" w:hanging="720"/>
        <w:rPr>
          <w:noProof/>
        </w:rPr>
      </w:pPr>
      <w:r>
        <w:rPr>
          <w:noProof/>
        </w:rPr>
        <w:t xml:space="preserve">Thornton, Jeff. "Supermarket Refrigeration Options." </w:t>
      </w:r>
      <w:r>
        <w:rPr>
          <w:i/>
          <w:iCs/>
          <w:noProof/>
        </w:rPr>
        <w:t>Masters Thesis, University of Wisconsin, Madison.</w:t>
      </w:r>
      <w:r>
        <w:rPr>
          <w:noProof/>
        </w:rPr>
        <w:t xml:space="preserve"> 1991, </w:t>
      </w:r>
      <w:hyperlink r:id="rId9" w:history="1">
        <w:r w:rsidRPr="0030620F">
          <w:rPr>
            <w:rStyle w:val="Hyperlink"/>
            <w:noProof/>
          </w:rPr>
          <w:t>https://minds.wisconsin.edu/bitstream/handle/1793/45617/Thornton1991.pdf?sequence=1&amp;isAllowed=y</w:t>
        </w:r>
      </w:hyperlink>
    </w:p>
    <w:p w:rsidR="00205B3E" w:rsidRPr="00350A6B" w:rsidRDefault="00205B3E" w:rsidP="00205B3E">
      <w:pPr>
        <w:pStyle w:val="Bibliography"/>
        <w:ind w:left="720" w:hanging="720"/>
        <w:rPr>
          <w:noProof/>
        </w:rPr>
      </w:pPr>
      <w:r>
        <w:rPr>
          <w:noProof/>
        </w:rPr>
        <w:t xml:space="preserve">USDOE, "Commercial Refrigeration Equipment (CRE) Technical Support Document." 2013. </w:t>
      </w:r>
      <w:hyperlink r:id="rId10" w:history="1">
        <w:r w:rsidRPr="00041B5E">
          <w:rPr>
            <w:rStyle w:val="Hyperlink"/>
            <w:noProof/>
          </w:rPr>
          <w:t>https://www1.eere.energy.gov/buildings/appliance_standards/pdfs/cre2_nopr_tsd_2013_08_28.pdf</w:t>
        </w:r>
      </w:hyperlink>
    </w:p>
    <w:p w:rsidR="00205B3E" w:rsidRPr="00205B3E" w:rsidRDefault="00205B3E" w:rsidP="00205B3E"/>
    <w:p w:rsidR="00205B3E" w:rsidRDefault="00205B3E" w:rsidP="008F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D6486" w:rsidRPr="008F5EB9" w:rsidRDefault="009D6486" w:rsidP="008F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sectPr w:rsidR="009D6486" w:rsidRPr="008F5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E8B"/>
    <w:multiLevelType w:val="hybridMultilevel"/>
    <w:tmpl w:val="706E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D00C2"/>
    <w:multiLevelType w:val="hybridMultilevel"/>
    <w:tmpl w:val="DA2C4DC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B9"/>
    <w:rsid w:val="000C7FDB"/>
    <w:rsid w:val="00170614"/>
    <w:rsid w:val="00205B3E"/>
    <w:rsid w:val="00233B58"/>
    <w:rsid w:val="002539E9"/>
    <w:rsid w:val="00343949"/>
    <w:rsid w:val="00345B3F"/>
    <w:rsid w:val="00361B3F"/>
    <w:rsid w:val="00422381"/>
    <w:rsid w:val="00442A4F"/>
    <w:rsid w:val="0046163A"/>
    <w:rsid w:val="00497A17"/>
    <w:rsid w:val="004A37CE"/>
    <w:rsid w:val="004A6D34"/>
    <w:rsid w:val="00515623"/>
    <w:rsid w:val="005A000C"/>
    <w:rsid w:val="005A041B"/>
    <w:rsid w:val="00792824"/>
    <w:rsid w:val="00816BA3"/>
    <w:rsid w:val="0087257D"/>
    <w:rsid w:val="008747C5"/>
    <w:rsid w:val="008A1D3B"/>
    <w:rsid w:val="008F5EB9"/>
    <w:rsid w:val="009874EB"/>
    <w:rsid w:val="009D6486"/>
    <w:rsid w:val="00A74032"/>
    <w:rsid w:val="00AE3128"/>
    <w:rsid w:val="00AF15BA"/>
    <w:rsid w:val="00B517D4"/>
    <w:rsid w:val="00B61989"/>
    <w:rsid w:val="00B8736B"/>
    <w:rsid w:val="00C14333"/>
    <w:rsid w:val="00C71BE2"/>
    <w:rsid w:val="00D2450C"/>
    <w:rsid w:val="00D45DBE"/>
    <w:rsid w:val="00D55A55"/>
    <w:rsid w:val="00D87496"/>
    <w:rsid w:val="00DE7CBE"/>
    <w:rsid w:val="00E742D6"/>
    <w:rsid w:val="00E76965"/>
    <w:rsid w:val="00EC5513"/>
    <w:rsid w:val="00ED68CD"/>
    <w:rsid w:val="00F407C8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F5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5E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F5EB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5EB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5EB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5EB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5EB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5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5B3E"/>
  </w:style>
  <w:style w:type="character" w:styleId="Hyperlink">
    <w:name w:val="Hyperlink"/>
    <w:basedOn w:val="DefaultParagraphFont"/>
    <w:uiPriority w:val="99"/>
    <w:unhideWhenUsed/>
    <w:rsid w:val="00205B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F5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5E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F5EB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5EB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5EB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5EB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5EB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5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5B3E"/>
  </w:style>
  <w:style w:type="character" w:styleId="Hyperlink">
    <w:name w:val="Hyperlink"/>
    <w:basedOn w:val="DefaultParagraphFont"/>
    <w:uiPriority w:val="99"/>
    <w:unhideWhenUsed/>
    <w:rsid w:val="00205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3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9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4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0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67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38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85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53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17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36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52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05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45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86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3.arb.ca.gov/cc/commref/supermarket%202013%20nr15%20case%20report%20draft%2017mar1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eea.org/img/documents/appendix-a-2014-cbsa-building-characteristic-summary-tables-2014-12-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th.se/polopoly_fs/1.301522.1550154794!/Menu/general/column-content/attachment/PhD%20Thesis-Jaime%20Arias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1.eere.energy.gov/buildings/appliance_standards/pdfs/cre2_nopr_tsd_2013_08_2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ds.wisconsin.edu/bitstream/handle/1793/45617/Thornton1991.pdf?sequence=1&amp;isAllowed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 Extension Energy Program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Roos</dc:creator>
  <cp:lastModifiedBy>BPA User</cp:lastModifiedBy>
  <cp:revision>2</cp:revision>
  <cp:lastPrinted>2019-09-17T23:44:00Z</cp:lastPrinted>
  <dcterms:created xsi:type="dcterms:W3CDTF">2019-09-20T21:55:00Z</dcterms:created>
  <dcterms:modified xsi:type="dcterms:W3CDTF">2019-09-20T21:55:00Z</dcterms:modified>
</cp:coreProperties>
</file>